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3E91" w14:textId="48FAB774" w:rsidR="003D562D" w:rsidRPr="003D562D" w:rsidRDefault="00CB724C" w:rsidP="00E61F4E">
      <w:pPr>
        <w:pStyle w:val="Title"/>
      </w:pPr>
      <w:r>
        <w:t xml:space="preserve">Chapter </w:t>
      </w:r>
      <w:r w:rsidR="004F31BB">
        <w:t>6</w:t>
      </w:r>
      <w:r w:rsidR="00096B4F">
        <w:t xml:space="preserve"> </w:t>
      </w:r>
      <w:r w:rsidR="00096B4F" w:rsidRPr="00096B4F">
        <w:t>–</w:t>
      </w:r>
      <w:r w:rsidR="00096B4F">
        <w:t xml:space="preserve"> Establishing Sustainable Governance</w:t>
      </w:r>
    </w:p>
    <w:tbl>
      <w:tblPr>
        <w:tblStyle w:val="TableGrid"/>
        <w:tblpPr w:leftFromText="180" w:rightFromText="180" w:horzAnchor="margin" w:tblpXSpec="center" w:tblpY="-1005"/>
        <w:tblW w:w="10388" w:type="dxa"/>
        <w:tblLook w:val="04A0" w:firstRow="1" w:lastRow="0" w:firstColumn="1" w:lastColumn="0" w:noHBand="0" w:noVBand="1"/>
      </w:tblPr>
      <w:tblGrid>
        <w:gridCol w:w="10388"/>
      </w:tblGrid>
      <w:tr w:rsidR="00FD676E" w:rsidRPr="00ED370B" w14:paraId="36138F98" w14:textId="77777777" w:rsidTr="005F1B49">
        <w:trPr>
          <w:trHeight w:val="440"/>
        </w:trPr>
        <w:tc>
          <w:tcPr>
            <w:tcW w:w="10388" w:type="dxa"/>
            <w:tcBorders>
              <w:top w:val="nil"/>
              <w:left w:val="nil"/>
              <w:bottom w:val="nil"/>
              <w:right w:val="nil"/>
            </w:tcBorders>
            <w:shd w:val="clear" w:color="auto" w:fill="auto"/>
          </w:tcPr>
          <w:p w14:paraId="58877A93" w14:textId="77777777" w:rsidR="00FD676E" w:rsidRPr="00ED370B" w:rsidRDefault="00FD676E" w:rsidP="00E61F4E">
            <w:bookmarkStart w:id="0" w:name="_heading=h.1fob9te" w:colFirst="0" w:colLast="0"/>
            <w:bookmarkEnd w:id="0"/>
          </w:p>
          <w:p w14:paraId="60765123" w14:textId="77777777" w:rsidR="00FD676E" w:rsidRPr="00ED370B" w:rsidRDefault="00FD676E" w:rsidP="00E61F4E"/>
        </w:tc>
      </w:tr>
      <w:tr w:rsidR="00BE160C" w:rsidRPr="00ED370B" w14:paraId="1DA5A049" w14:textId="77777777" w:rsidTr="005F1B49">
        <w:trPr>
          <w:trHeight w:val="440"/>
        </w:trPr>
        <w:tc>
          <w:tcPr>
            <w:tcW w:w="10388" w:type="dxa"/>
            <w:tcBorders>
              <w:top w:val="nil"/>
              <w:left w:val="nil"/>
              <w:bottom w:val="nil"/>
              <w:right w:val="nil"/>
            </w:tcBorders>
            <w:shd w:val="clear" w:color="auto" w:fill="auto"/>
          </w:tcPr>
          <w:p w14:paraId="12FA0BDC" w14:textId="77777777" w:rsidR="00BE160C" w:rsidRPr="00ED370B" w:rsidRDefault="00BE160C" w:rsidP="00E61F4E"/>
        </w:tc>
      </w:tr>
    </w:tbl>
    <w:p w14:paraId="3B2F3BFA" w14:textId="5BD08422" w:rsidR="00C1499A" w:rsidRDefault="00C1499A" w:rsidP="00E61F4E">
      <w:pPr>
        <w:pStyle w:val="Heading1"/>
      </w:pPr>
      <w:r>
        <w:t>Introd</w:t>
      </w:r>
      <w:r w:rsidR="004058E3">
        <w:t>u</w:t>
      </w:r>
      <w:r>
        <w:t xml:space="preserve">ction </w:t>
      </w:r>
    </w:p>
    <w:p w14:paraId="4ACFE955" w14:textId="1975EC5F" w:rsidR="00F90A9D" w:rsidRPr="00E61F4E" w:rsidRDefault="00513DF7" w:rsidP="00E61F4E">
      <w:r w:rsidRPr="00E61F4E">
        <w:t xml:space="preserve">Managing a National Heritage Area is a multifaceted and intricate endeavor that involves the preservation, promotion, and sustainable stewardship of </w:t>
      </w:r>
      <w:r w:rsidR="00513AD3" w:rsidRPr="00E61F4E">
        <w:t>a region</w:t>
      </w:r>
      <w:r w:rsidRPr="00E61F4E">
        <w:t xml:space="preserve"> rich in cultural, historical, and natural significance. These areas, often spanning diverse landscapes and communities, serve as living testaments to our shared</w:t>
      </w:r>
      <w:r w:rsidR="00513AD3" w:rsidRPr="00E61F4E">
        <w:t xml:space="preserve"> national</w:t>
      </w:r>
      <w:r w:rsidRPr="00E61F4E">
        <w:t xml:space="preserve"> heritage. The process for managin</w:t>
      </w:r>
      <w:r w:rsidR="00513AD3" w:rsidRPr="00E61F4E">
        <w:t xml:space="preserve">g a National Heritage Area is </w:t>
      </w:r>
      <w:r w:rsidRPr="00E61F4E">
        <w:t>collab</w:t>
      </w:r>
      <w:r w:rsidR="00513AD3" w:rsidRPr="00E61F4E">
        <w:t>orative and dynamic</w:t>
      </w:r>
      <w:r w:rsidRPr="00E61F4E">
        <w:t>, necessitating the cooperation</w:t>
      </w:r>
      <w:r w:rsidR="00513AD3" w:rsidRPr="00E61F4E">
        <w:t xml:space="preserve"> and working partnership</w:t>
      </w:r>
      <w:r w:rsidRPr="00E61F4E">
        <w:t xml:space="preserve"> of federal, state, and local entities, as well as the engagement of stakeholders, </w:t>
      </w:r>
      <w:r w:rsidR="00513AD3" w:rsidRPr="00E61F4E">
        <w:t>businesses, residents, and</w:t>
      </w:r>
      <w:r w:rsidR="00F60B6F" w:rsidRPr="00E61F4E">
        <w:t xml:space="preserve"> </w:t>
      </w:r>
      <w:r w:rsidR="00513AD3" w:rsidRPr="00E61F4E">
        <w:t xml:space="preserve">visitors. </w:t>
      </w:r>
      <w:r w:rsidR="00DF6CD4" w:rsidRPr="00E61F4E">
        <w:t xml:space="preserve">This </w:t>
      </w:r>
      <w:r w:rsidR="004A6409" w:rsidRPr="00E61F4E">
        <w:t xml:space="preserve">chapter </w:t>
      </w:r>
      <w:r w:rsidR="00513AD3" w:rsidRPr="00E61F4E">
        <w:t>details the complex characteristics of the Sacramento-San Joaquin Delta NHA</w:t>
      </w:r>
      <w:r w:rsidR="00BA2C06" w:rsidRPr="00E61F4E">
        <w:t>,</w:t>
      </w:r>
      <w:r w:rsidR="00513AD3" w:rsidRPr="00E61F4E">
        <w:t xml:space="preserve"> </w:t>
      </w:r>
      <w:r w:rsidR="00BA2C06" w:rsidRPr="00E61F4E">
        <w:t xml:space="preserve">including outreach, </w:t>
      </w:r>
      <w:r w:rsidR="00513AD3" w:rsidRPr="00E61F4E">
        <w:t>coordination</w:t>
      </w:r>
      <w:r w:rsidR="00BA2C06" w:rsidRPr="00E61F4E">
        <w:t xml:space="preserve">, objectives, and </w:t>
      </w:r>
      <w:r w:rsidRPr="00E61F4E">
        <w:t>f</w:t>
      </w:r>
      <w:r w:rsidR="00BA2C06" w:rsidRPr="00E61F4E">
        <w:t xml:space="preserve">undamental steps that will be necessary for </w:t>
      </w:r>
      <w:r w:rsidRPr="00E61F4E">
        <w:t>the management of t</w:t>
      </w:r>
      <w:r w:rsidR="00513AD3" w:rsidRPr="00E61F4E">
        <w:t>his cherished landscape</w:t>
      </w:r>
      <w:r w:rsidR="00BA2C06" w:rsidRPr="00E61F4E">
        <w:t xml:space="preserve">. When brought together, this working partnership, coordinated daily by the Delta Protection Commission, will advance the goals of the NHA </w:t>
      </w:r>
      <w:r w:rsidR="0072292A" w:rsidRPr="00E61F4E">
        <w:t>by</w:t>
      </w:r>
      <w:r w:rsidR="00BA2C06" w:rsidRPr="00E61F4E">
        <w:t xml:space="preserve"> balancing conservation, </w:t>
      </w:r>
      <w:r w:rsidR="00513AD3" w:rsidRPr="00E61F4E">
        <w:t xml:space="preserve">preservation, </w:t>
      </w:r>
      <w:r w:rsidRPr="00E61F4E">
        <w:t xml:space="preserve">education, recreation, </w:t>
      </w:r>
      <w:r w:rsidR="00513AD3" w:rsidRPr="00E61F4E">
        <w:t xml:space="preserve">heritage tourism, </w:t>
      </w:r>
      <w:r w:rsidRPr="00E61F4E">
        <w:t>and economic development to ensure the continued vitality and relev</w:t>
      </w:r>
      <w:r w:rsidR="00513AD3" w:rsidRPr="00E61F4E">
        <w:t>ance of the Sacramento-San Joaquin Delta of California</w:t>
      </w:r>
      <w:r w:rsidR="00F90A9D" w:rsidRPr="00E61F4E">
        <w:t xml:space="preserve">. </w:t>
      </w:r>
      <w:r w:rsidR="00685D58" w:rsidRPr="00E61F4E">
        <w:t>Understanding</w:t>
      </w:r>
      <w:r w:rsidR="00F90A9D" w:rsidRPr="00E61F4E">
        <w:t xml:space="preserve"> that </w:t>
      </w:r>
      <w:proofErr w:type="gramStart"/>
      <w:r w:rsidR="00F90A9D" w:rsidRPr="00E61F4E">
        <w:t>all of</w:t>
      </w:r>
      <w:proofErr w:type="gramEnd"/>
      <w:r w:rsidR="00F90A9D" w:rsidRPr="00E61F4E">
        <w:t xml:space="preserve"> the other </w:t>
      </w:r>
      <w:r w:rsidR="00C24780" w:rsidRPr="00E61F4E">
        <w:t>g</w:t>
      </w:r>
      <w:r w:rsidR="00F90A9D" w:rsidRPr="00E61F4E">
        <w:t xml:space="preserve">oals and </w:t>
      </w:r>
      <w:r w:rsidR="00C24780" w:rsidRPr="00E61F4E">
        <w:t>o</w:t>
      </w:r>
      <w:r w:rsidR="00F90A9D" w:rsidRPr="00E61F4E">
        <w:t>bjectives</w:t>
      </w:r>
      <w:r w:rsidR="00C24780" w:rsidRPr="00E61F4E">
        <w:t xml:space="preserve"> in the management plan</w:t>
      </w:r>
      <w:r w:rsidR="00F90A9D" w:rsidRPr="00E61F4E">
        <w:t xml:space="preserve"> fold into the administrative and management tasks of the NHA, the strategy for Goal 5 is to:</w:t>
      </w:r>
    </w:p>
    <w:p w14:paraId="20671333" w14:textId="25374409" w:rsidR="00F90A9D" w:rsidRPr="00E1054D" w:rsidRDefault="00F90A9D" w:rsidP="00E61F4E">
      <w:r w:rsidRPr="00E1054D">
        <w:t>Seek, establish, and maintain collaborative partnerships, effective governance principles, and sustainable business practices to manage the coordinating entity and the NHA.</w:t>
      </w:r>
    </w:p>
    <w:p w14:paraId="06E9CF44" w14:textId="4649E05A" w:rsidR="00460131" w:rsidRDefault="00D44C0D" w:rsidP="00E61F4E">
      <w:pPr>
        <w:pStyle w:val="Heading1"/>
      </w:pPr>
      <w:r>
        <w:t xml:space="preserve">Managing the </w:t>
      </w:r>
      <w:r w:rsidRPr="00D44C0D">
        <w:t>Sacramento-San Joaquin Delta National Heritage Area</w:t>
      </w:r>
    </w:p>
    <w:p w14:paraId="03700BA6" w14:textId="55453A8F" w:rsidR="00E87EAE" w:rsidRDefault="00460131" w:rsidP="00E61F4E">
      <w:r>
        <w:t>In Section 6001 of Public Law 116-9,</w:t>
      </w:r>
      <w:r w:rsidRPr="00460131">
        <w:t xml:space="preserve"> the United States Congress designated the Delta Protection </w:t>
      </w:r>
      <w:r>
        <w:t xml:space="preserve">Commission (DPC) as the </w:t>
      </w:r>
      <w:r w:rsidRPr="00460131">
        <w:t>co</w:t>
      </w:r>
      <w:r>
        <w:t xml:space="preserve">ordinating entity </w:t>
      </w:r>
      <w:r w:rsidR="0053356C">
        <w:t>for</w:t>
      </w:r>
      <w:r w:rsidRPr="00460131">
        <w:t xml:space="preserve"> the Sacramento-San Joaquin Delta National Heritage Area. This decision was informed by a feasibility study conducted by the DPC, which highlighted various key factors supporting their selection as the coordinating body. Additionally, </w:t>
      </w:r>
      <w:r>
        <w:t xml:space="preserve">as described in Chapter 1, California law provides specific responsibilities to, and authorities of, </w:t>
      </w:r>
      <w:r w:rsidR="00C24780">
        <w:t xml:space="preserve">the </w:t>
      </w:r>
      <w:r>
        <w:t>DPC to "</w:t>
      </w:r>
      <w:r w:rsidR="00DC1200">
        <w:t>…</w:t>
      </w:r>
      <w:r>
        <w:t>protect, enhance, and sustain the unique cultural, historical, recreational, agricultural, and economic values</w:t>
      </w:r>
      <w:r w:rsidR="00DC1200">
        <w:t xml:space="preserve"> of the Delta…" Given </w:t>
      </w:r>
      <w:r w:rsidR="00DC1200">
        <w:lastRenderedPageBreak/>
        <w:t xml:space="preserve">this responsibility, the DPC </w:t>
      </w:r>
      <w:r w:rsidR="00E87EAE">
        <w:t xml:space="preserve">is best positioned to coordinate the NHA partnership </w:t>
      </w:r>
      <w:r w:rsidR="00DF6CD4">
        <w:t>network</w:t>
      </w:r>
      <w:r w:rsidR="000019D8">
        <w:t xml:space="preserve">. The DPC </w:t>
      </w:r>
      <w:r w:rsidR="000019D8" w:rsidRPr="000019D8">
        <w:t xml:space="preserve">began its role as the coordinating entity in guiding </w:t>
      </w:r>
      <w:r w:rsidR="0072292A">
        <w:t xml:space="preserve">the </w:t>
      </w:r>
      <w:r w:rsidR="000019D8" w:rsidRPr="000019D8">
        <w:t>developmen</w:t>
      </w:r>
      <w:r w:rsidR="00BC1F06">
        <w:t>t of the management plan by establishing</w:t>
      </w:r>
      <w:r w:rsidR="000019D8" w:rsidRPr="000019D8">
        <w:t xml:space="preserve"> an Advisory Committee and task groups and dedicating staff to the NHA. Through the manag</w:t>
      </w:r>
      <w:r w:rsidR="000019D8">
        <w:t xml:space="preserve">ement plan process, DPC has worked to build </w:t>
      </w:r>
      <w:r w:rsidR="000019D8" w:rsidRPr="000019D8">
        <w:t>a strong partnership network for the NHA</w:t>
      </w:r>
      <w:r w:rsidR="00DF6CD4">
        <w:t xml:space="preserve"> </w:t>
      </w:r>
      <w:r w:rsidR="00E87EAE">
        <w:t xml:space="preserve">and implement the recommendations contained within this management plan. </w:t>
      </w:r>
    </w:p>
    <w:p w14:paraId="6E12428F" w14:textId="7C9EA77B" w:rsidR="00460131" w:rsidRDefault="00E87EAE" w:rsidP="00E61F4E">
      <w:r>
        <w:t xml:space="preserve">The </w:t>
      </w:r>
      <w:proofErr w:type="spellStart"/>
      <w:r w:rsidR="00460131" w:rsidRPr="00460131">
        <w:t>PointHDC</w:t>
      </w:r>
      <w:proofErr w:type="spellEnd"/>
      <w:r w:rsidR="00460131" w:rsidRPr="00460131">
        <w:t xml:space="preserve"> consulti</w:t>
      </w:r>
      <w:r>
        <w:t xml:space="preserve">ng team, working with </w:t>
      </w:r>
      <w:r w:rsidR="00643132">
        <w:t xml:space="preserve">the </w:t>
      </w:r>
      <w:r>
        <w:t>DPC and Advi</w:t>
      </w:r>
      <w:r w:rsidR="00C31814">
        <w:t>sory Committee, identified various f</w:t>
      </w:r>
      <w:r w:rsidR="00460131" w:rsidRPr="00460131">
        <w:t>actors</w:t>
      </w:r>
      <w:r>
        <w:t xml:space="preserve"> that could constrain</w:t>
      </w:r>
      <w:r w:rsidR="00C31814">
        <w:t xml:space="preserve"> </w:t>
      </w:r>
      <w:r w:rsidR="00643132">
        <w:t>or</w:t>
      </w:r>
      <w:r w:rsidR="00C31814">
        <w:t xml:space="preserve"> benefit</w:t>
      </w:r>
      <w:r>
        <w:t xml:space="preserve"> </w:t>
      </w:r>
      <w:r w:rsidR="00DF6CD4">
        <w:t xml:space="preserve">management of </w:t>
      </w:r>
      <w:r>
        <w:t xml:space="preserve">the NHA, particularly as they relate to the ability of NHAs to be nimble and respond to certain matters that may arise as the </w:t>
      </w:r>
      <w:r w:rsidR="00DF6CD4">
        <w:t xml:space="preserve">organization </w:t>
      </w:r>
      <w:r>
        <w:t>matures and advances</w:t>
      </w:r>
      <w:r w:rsidR="00460131" w:rsidRPr="00460131">
        <w:t>.</w:t>
      </w:r>
      <w:r w:rsidR="00C31814">
        <w:t xml:space="preserve"> </w:t>
      </w:r>
      <w:r w:rsidR="00493A61">
        <w:t>A g</w:t>
      </w:r>
      <w:r w:rsidR="00C31814">
        <w:t xml:space="preserve">overnment agency as a coordinating entity for a </w:t>
      </w:r>
      <w:r w:rsidR="00DF6CD4">
        <w:t>National H</w:t>
      </w:r>
      <w:r w:rsidR="00C31814">
        <w:t xml:space="preserve">eritage </w:t>
      </w:r>
      <w:r w:rsidR="00DF6CD4">
        <w:t>A</w:t>
      </w:r>
      <w:r w:rsidR="00C31814">
        <w:t xml:space="preserve">rea is not unique. Some other established </w:t>
      </w:r>
      <w:r w:rsidR="00DF6CD4">
        <w:t>N</w:t>
      </w:r>
      <w:r w:rsidR="00C31814">
        <w:t xml:space="preserve">ational </w:t>
      </w:r>
      <w:r w:rsidR="00DF6CD4">
        <w:t>H</w:t>
      </w:r>
      <w:r w:rsidR="00C31814">
        <w:t xml:space="preserve">eritage </w:t>
      </w:r>
      <w:r w:rsidR="00DF6CD4">
        <w:t>A</w:t>
      </w:r>
      <w:r w:rsidR="00C31814">
        <w:t xml:space="preserve">reas were designed with state agencies as the </w:t>
      </w:r>
      <w:r w:rsidR="00C31814" w:rsidRPr="00806436">
        <w:t>coordinating entity, while others were established with federal commissions,</w:t>
      </w:r>
      <w:r w:rsidR="004A6409">
        <w:t xml:space="preserve"> c</w:t>
      </w:r>
      <w:r w:rsidR="00C31814" w:rsidRPr="00806436">
        <w:t>ounty</w:t>
      </w:r>
      <w:r w:rsidR="00E115B3">
        <w:t xml:space="preserve"> or city governments, or local </w:t>
      </w:r>
      <w:r w:rsidR="00C31814" w:rsidRPr="00806436">
        <w:t>authorities. Government agencies</w:t>
      </w:r>
      <w:r w:rsidR="00291FC1" w:rsidRPr="00806436">
        <w:t xml:space="preserve"> as </w:t>
      </w:r>
      <w:r w:rsidR="00806436" w:rsidRPr="00806436">
        <w:t xml:space="preserve">a coordinating </w:t>
      </w:r>
      <w:r w:rsidR="00291FC1" w:rsidRPr="00806436">
        <w:t>entity</w:t>
      </w:r>
      <w:r w:rsidR="00C31814" w:rsidRPr="00806436">
        <w:t xml:space="preserve"> can bring considerable benefits to </w:t>
      </w:r>
      <w:r w:rsidR="00DC1308" w:rsidRPr="00806436">
        <w:t>a</w:t>
      </w:r>
      <w:r w:rsidR="00C31814" w:rsidRPr="00806436">
        <w:t xml:space="preserve"> </w:t>
      </w:r>
      <w:r w:rsidR="00DF6CD4">
        <w:t>National Heritage Area</w:t>
      </w:r>
      <w:r w:rsidR="00DC1308" w:rsidRPr="00806436">
        <w:t>,</w:t>
      </w:r>
      <w:r w:rsidR="00806436" w:rsidRPr="00806436">
        <w:t xml:space="preserve"> including access to other </w:t>
      </w:r>
      <w:r w:rsidR="00C31814" w:rsidRPr="00806436">
        <w:t xml:space="preserve">professional services within their departments or other departments, </w:t>
      </w:r>
      <w:r w:rsidR="00291FC1" w:rsidRPr="00806436">
        <w:t>i</w:t>
      </w:r>
      <w:r w:rsidR="00DC1308" w:rsidRPr="00806436">
        <w:t>mmediate</w:t>
      </w:r>
      <w:r w:rsidR="00C31814" w:rsidRPr="00806436">
        <w:t xml:space="preserve"> </w:t>
      </w:r>
      <w:r w:rsidR="00895EAB" w:rsidRPr="00806436">
        <w:t>availability</w:t>
      </w:r>
      <w:r w:rsidR="00C31814" w:rsidRPr="00806436">
        <w:t xml:space="preserve"> of</w:t>
      </w:r>
      <w:r w:rsidR="00291FC1" w:rsidRPr="00806436">
        <w:t xml:space="preserve"> administrative staffing, and match funding, </w:t>
      </w:r>
      <w:r w:rsidR="00291FC1">
        <w:t xml:space="preserve">along with the physical presence of a </w:t>
      </w:r>
      <w:r w:rsidR="00806436">
        <w:t>headquarters</w:t>
      </w:r>
      <w:r w:rsidR="00291FC1">
        <w:t xml:space="preserve"> for the NHA. However, government agencies are subject to many uncertainties</w:t>
      </w:r>
      <w:r w:rsidR="00806436">
        <w:t>,</w:t>
      </w:r>
      <w:r w:rsidR="00291FC1">
        <w:t xml:space="preserve"> including political influence or change</w:t>
      </w:r>
      <w:r w:rsidR="00806436">
        <w:t>s</w:t>
      </w:r>
      <w:r w:rsidR="00291FC1">
        <w:t>, budgetary matters,</w:t>
      </w:r>
      <w:r w:rsidR="00806436">
        <w:t xml:space="preserve"> and a bureaucratic structure that </w:t>
      </w:r>
      <w:r w:rsidR="008335F4">
        <w:t>can v</w:t>
      </w:r>
      <w:r w:rsidR="008C6F49">
        <w:t>a</w:t>
      </w:r>
      <w:r w:rsidR="008335F4">
        <w:t xml:space="preserve">ry between state agencies. </w:t>
      </w:r>
      <w:r w:rsidR="00F60B6F">
        <w:t xml:space="preserve">These matters </w:t>
      </w:r>
      <w:r w:rsidR="004A4BB8">
        <w:t>were all</w:t>
      </w:r>
      <w:r w:rsidR="00806436">
        <w:t xml:space="preserve"> considered as part of th</w:t>
      </w:r>
      <w:r w:rsidR="00435EC7">
        <w:t>e</w:t>
      </w:r>
      <w:r w:rsidR="00806436">
        <w:t xml:space="preserve"> management planning process.</w:t>
      </w:r>
    </w:p>
    <w:p w14:paraId="66D42F6E" w14:textId="17CA32E3" w:rsidR="00791A50" w:rsidRDefault="00791A50" w:rsidP="00E61F4E">
      <w:r>
        <w:t>The information and recommendations presented in this chapter meet the requirement of the designating legislation to establish a business plan for the NHA. Specifically, this business plan includes comprehensive policies, strategies, and recommendations for funding and management of the NHA (Sec. 6001(c)(2)(C)(ii)), sources of funding (Sec. 6001(c)(2)(C)(v)), and coordination of the partnership network (</w:t>
      </w:r>
      <w:r w:rsidRPr="00791A50">
        <w:t>Sec. 6001(c)(2)(C)(v</w:t>
      </w:r>
      <w:r>
        <w:t>i</w:t>
      </w:r>
      <w:r w:rsidRPr="00791A50">
        <w:t>)</w:t>
      </w:r>
      <w:r>
        <w:t>).</w:t>
      </w:r>
    </w:p>
    <w:p w14:paraId="6CFBE997" w14:textId="31DF5759" w:rsidR="0033458C" w:rsidRPr="00857E02" w:rsidRDefault="00BB4C95" w:rsidP="00E61F4E">
      <w:pPr>
        <w:pStyle w:val="Heading2"/>
      </w:pPr>
      <w:r w:rsidRPr="00857E02">
        <w:t>Advantages of Delta Protection Commission as the Coordinating Entity of the Sacramento-San Joaquin Delta National Heritage Area</w:t>
      </w:r>
    </w:p>
    <w:p w14:paraId="208F0F1A" w14:textId="0E489A11" w:rsidR="009D3886" w:rsidRDefault="00131B78" w:rsidP="00E61F4E">
      <w:r>
        <w:t>The Delta Protection Commission</w:t>
      </w:r>
      <w:r w:rsidR="00F60B6F">
        <w:t>, operating as the coordinating entity for the Sacramento-San Joaquin Delta National Heritage Area,</w:t>
      </w:r>
      <w:r w:rsidR="00435EC7">
        <w:t xml:space="preserve"> </w:t>
      </w:r>
      <w:r w:rsidR="009D3886">
        <w:t>can of</w:t>
      </w:r>
      <w:r>
        <w:t>fer several benefits</w:t>
      </w:r>
      <w:r w:rsidR="00435EC7">
        <w:t>, detailed below</w:t>
      </w:r>
      <w:r>
        <w:t xml:space="preserve">. </w:t>
      </w:r>
    </w:p>
    <w:p w14:paraId="46E40390" w14:textId="77777777" w:rsidR="002A0E3A" w:rsidRDefault="009D3886" w:rsidP="00E61F4E">
      <w:pPr>
        <w:rPr>
          <w:rStyle w:val="Heading3Char"/>
          <w:rFonts w:eastAsia="Futura Bk BT"/>
        </w:rPr>
      </w:pPr>
      <w:r w:rsidRPr="002A0E3A">
        <w:rPr>
          <w:rStyle w:val="Heading3Char"/>
          <w:rFonts w:eastAsia="Futura Bk BT"/>
        </w:rPr>
        <w:t>Local Exper</w:t>
      </w:r>
      <w:r w:rsidR="00131B78" w:rsidRPr="002A0E3A">
        <w:rPr>
          <w:rStyle w:val="Heading3Char"/>
          <w:rFonts w:eastAsia="Futura Bk BT"/>
        </w:rPr>
        <w:t>tise</w:t>
      </w:r>
    </w:p>
    <w:p w14:paraId="30CA50CE" w14:textId="09CD65C7" w:rsidR="009D3886" w:rsidRDefault="00131B78" w:rsidP="00E61F4E">
      <w:r>
        <w:t xml:space="preserve">The Delta Protection Commission has </w:t>
      </w:r>
      <w:r w:rsidR="009D3886">
        <w:t>a deep understanding of the local culture, history, and natural res</w:t>
      </w:r>
      <w:r>
        <w:t>ources within the Sacramento-San Joaquin Delta region</w:t>
      </w:r>
      <w:r w:rsidR="009D3886">
        <w:t xml:space="preserve">. This local expertise can be invaluable in managing and preserving the </w:t>
      </w:r>
      <w:r w:rsidR="00CC7C3C">
        <w:t>NHA</w:t>
      </w:r>
      <w:r w:rsidR="009D3886">
        <w:t>.</w:t>
      </w:r>
    </w:p>
    <w:p w14:paraId="411943A1" w14:textId="77777777" w:rsidR="002A0E3A" w:rsidRPr="002A0E3A" w:rsidRDefault="009D3886" w:rsidP="00E61F4E">
      <w:pPr>
        <w:pStyle w:val="Heading3"/>
        <w:rPr>
          <w:rFonts w:eastAsia="Futura Bk BT"/>
        </w:rPr>
      </w:pPr>
      <w:r w:rsidRPr="002A0E3A">
        <w:rPr>
          <w:rFonts w:eastAsia="Futura Bk BT"/>
        </w:rPr>
        <w:t>Regional Coordination</w:t>
      </w:r>
    </w:p>
    <w:p w14:paraId="5236128C" w14:textId="2DD2406E" w:rsidR="009D3886" w:rsidRDefault="008C6F49" w:rsidP="00E61F4E">
      <w:r>
        <w:t>As part of its legislative duties, t</w:t>
      </w:r>
      <w:r w:rsidR="000840E3">
        <w:t>he Delta Protection Commission</w:t>
      </w:r>
      <w:r w:rsidR="009D3886">
        <w:t xml:space="preserve"> facilitate</w:t>
      </w:r>
      <w:r w:rsidR="00027534">
        <w:t>s</w:t>
      </w:r>
      <w:r w:rsidR="009D3886">
        <w:t xml:space="preserve"> c</w:t>
      </w:r>
      <w:r w:rsidR="000840E3">
        <w:t xml:space="preserve">oordination among various </w:t>
      </w:r>
      <w:r w:rsidR="009D3886">
        <w:t xml:space="preserve">stakeholders, including </w:t>
      </w:r>
      <w:r w:rsidR="00131B78">
        <w:t>other state</w:t>
      </w:r>
      <w:r w:rsidR="000840E3">
        <w:t xml:space="preserve"> departments and agencies</w:t>
      </w:r>
      <w:r w:rsidR="00131B78">
        <w:t xml:space="preserve">, local and federal </w:t>
      </w:r>
      <w:r w:rsidR="000840E3">
        <w:t>government</w:t>
      </w:r>
      <w:r w:rsidR="009D3886">
        <w:t>, nonprofits, communi</w:t>
      </w:r>
      <w:r w:rsidR="00131B78">
        <w:t xml:space="preserve">ty groups, </w:t>
      </w:r>
      <w:r w:rsidR="00131B78">
        <w:lastRenderedPageBreak/>
        <w:t xml:space="preserve">and businesses. </w:t>
      </w:r>
      <w:r w:rsidR="00435EC7">
        <w:t xml:space="preserve">As described in </w:t>
      </w:r>
      <w:r w:rsidR="00435EC7" w:rsidRPr="00E67B14">
        <w:t>Ch</w:t>
      </w:r>
      <w:r w:rsidR="00E67B14" w:rsidRPr="00E67B14">
        <w:t>apter 5,</w:t>
      </w:r>
      <w:r w:rsidR="00E67B14">
        <w:t xml:space="preserve"> Connecting and Supporting the Partnership Network</w:t>
      </w:r>
      <w:r w:rsidR="00222A1C">
        <w:t xml:space="preserve"> </w:t>
      </w:r>
      <w:r w:rsidR="00435EC7">
        <w:t>(</w:t>
      </w:r>
      <w:r w:rsidR="005F6EFA">
        <w:t>see Strategy</w:t>
      </w:r>
      <w:r w:rsidR="00435EC7">
        <w:t xml:space="preserve"> 4.1.6), </w:t>
      </w:r>
      <w:r w:rsidR="00CC7C3C">
        <w:t>t</w:t>
      </w:r>
      <w:r w:rsidR="00435EC7">
        <w:t xml:space="preserve">he </w:t>
      </w:r>
      <w:r w:rsidR="00131B78">
        <w:t xml:space="preserve">DPC </w:t>
      </w:r>
      <w:r w:rsidR="00027534">
        <w:t xml:space="preserve">can continue to </w:t>
      </w:r>
      <w:r w:rsidR="009D3886">
        <w:t>serve as a central point of contact to bring these stakeholders together for co</w:t>
      </w:r>
      <w:r w:rsidR="000840E3">
        <w:t>llaborative efforts that benefit the NHA.</w:t>
      </w:r>
    </w:p>
    <w:p w14:paraId="763EC1CB" w14:textId="77777777" w:rsidR="002A0E3A" w:rsidRDefault="009D3886" w:rsidP="00E61F4E">
      <w:pPr>
        <w:pStyle w:val="Heading3"/>
      </w:pPr>
      <w:r w:rsidRPr="002A0E3A">
        <w:rPr>
          <w:rFonts w:eastAsia="Futura Bk BT"/>
        </w:rPr>
        <w:t>Resource Allocation</w:t>
      </w:r>
    </w:p>
    <w:p w14:paraId="61882C1F" w14:textId="3AB9B784" w:rsidR="009D3886" w:rsidRDefault="000840E3" w:rsidP="00E61F4E">
      <w:r>
        <w:t xml:space="preserve">The Delta Protection Commission </w:t>
      </w:r>
      <w:r w:rsidR="009D3886">
        <w:t xml:space="preserve">can help secure and allocate funding </w:t>
      </w:r>
      <w:r>
        <w:t xml:space="preserve">and resources for </w:t>
      </w:r>
      <w:r w:rsidR="009D3886">
        <w:t>projects</w:t>
      </w:r>
      <w:r>
        <w:t xml:space="preserve"> in the NHA. </w:t>
      </w:r>
      <w:r w:rsidR="00435EC7">
        <w:t xml:space="preserve">The </w:t>
      </w:r>
      <w:r>
        <w:t xml:space="preserve">DPC, as a state agency, may be able to access other state funding sources and </w:t>
      </w:r>
      <w:r w:rsidR="009D3886">
        <w:t>leverage</w:t>
      </w:r>
      <w:r>
        <w:t xml:space="preserve"> financial</w:t>
      </w:r>
      <w:r w:rsidR="009D3886">
        <w:t xml:space="preserve"> partnerships</w:t>
      </w:r>
      <w:r>
        <w:t xml:space="preserve"> to help secure </w:t>
      </w:r>
      <w:r w:rsidR="004A4BB8">
        <w:t xml:space="preserve">additional </w:t>
      </w:r>
      <w:r>
        <w:t xml:space="preserve">public funds. </w:t>
      </w:r>
      <w:r w:rsidR="004A4BB8">
        <w:t>Furthermore</w:t>
      </w:r>
      <w:r>
        <w:t xml:space="preserve">, through the Delta Investment Fund and </w:t>
      </w:r>
      <w:r w:rsidR="00791A50">
        <w:t xml:space="preserve">other nonprofit organizations </w:t>
      </w:r>
      <w:r w:rsidR="006E3AB5">
        <w:t xml:space="preserve">there exist </w:t>
      </w:r>
      <w:r w:rsidR="000019D8" w:rsidRPr="000019D8">
        <w:t>financial resource</w:t>
      </w:r>
      <w:r w:rsidR="006E3AB5">
        <w:t>s</w:t>
      </w:r>
      <w:r w:rsidR="000019D8" w:rsidRPr="000019D8">
        <w:t xml:space="preserve"> aimed at supporting initiatives and projects that contribute to the conservation, enhancement, and sustainable development of the Sacramento-San Joaquin Delta in California.</w:t>
      </w:r>
      <w:r w:rsidR="000019D8">
        <w:t xml:space="preserve"> </w:t>
      </w:r>
      <w:r w:rsidR="006E3AB5">
        <w:t>With these</w:t>
      </w:r>
      <w:r w:rsidR="000019D8">
        <w:t xml:space="preserve"> entities, </w:t>
      </w:r>
      <w:r w:rsidR="00435EC7">
        <w:t xml:space="preserve">the </w:t>
      </w:r>
      <w:r>
        <w:t xml:space="preserve">DPC </w:t>
      </w:r>
      <w:proofErr w:type="gramStart"/>
      <w:r>
        <w:t>is able to</w:t>
      </w:r>
      <w:proofErr w:type="gramEnd"/>
      <w:r w:rsidR="009D3886">
        <w:t xml:space="preserve"> seek grants</w:t>
      </w:r>
      <w:r>
        <w:t xml:space="preserve"> and contributions</w:t>
      </w:r>
      <w:r w:rsidR="009D3886">
        <w:t xml:space="preserve"> to</w:t>
      </w:r>
      <w:r>
        <w:t xml:space="preserve"> support</w:t>
      </w:r>
      <w:r w:rsidR="009D3886">
        <w:t xml:space="preserve"> initiatives</w:t>
      </w:r>
      <w:r>
        <w:t xml:space="preserve"> within the Sacramento-San Joaquin Delta National Heritage Area</w:t>
      </w:r>
      <w:r w:rsidR="009D3886">
        <w:t>.</w:t>
      </w:r>
    </w:p>
    <w:p w14:paraId="23B809BD" w14:textId="53D9919D" w:rsidR="002A0E3A" w:rsidRDefault="006E3AB5" w:rsidP="00E61F4E">
      <w:pPr>
        <w:pStyle w:val="Heading3"/>
      </w:pPr>
      <w:r>
        <w:rPr>
          <w:rFonts w:eastAsia="Futura Bk BT"/>
        </w:rPr>
        <w:t>Administrative Oversight</w:t>
      </w:r>
    </w:p>
    <w:p w14:paraId="7AA95ABC" w14:textId="5CB42806" w:rsidR="009D3886" w:rsidRDefault="000840E3" w:rsidP="00E61F4E">
      <w:r>
        <w:t xml:space="preserve">As a state agency, </w:t>
      </w:r>
      <w:r w:rsidR="00435EC7">
        <w:t xml:space="preserve">the </w:t>
      </w:r>
      <w:r>
        <w:t xml:space="preserve">DPC can ensure that </w:t>
      </w:r>
      <w:r w:rsidR="009D3886">
        <w:t>activities</w:t>
      </w:r>
      <w:r>
        <w:t xml:space="preserve"> within the NHA</w:t>
      </w:r>
      <w:r w:rsidR="009D3886">
        <w:t xml:space="preserve"> adhere to relevant s</w:t>
      </w:r>
      <w:r>
        <w:t xml:space="preserve">tate laws and regulations. </w:t>
      </w:r>
      <w:r w:rsidR="00435EC7">
        <w:t xml:space="preserve">The </w:t>
      </w:r>
      <w:r>
        <w:t>DPC may also be able to assist in navigating other matters, including permitting and compliance</w:t>
      </w:r>
      <w:r w:rsidR="001D3019">
        <w:t xml:space="preserve"> </w:t>
      </w:r>
      <w:r>
        <w:t>that sometimes create barriers to a project's advancement.</w:t>
      </w:r>
    </w:p>
    <w:p w14:paraId="1558D50A" w14:textId="77777777" w:rsidR="002A0E3A" w:rsidRDefault="009D3886" w:rsidP="00E61F4E">
      <w:pPr>
        <w:pStyle w:val="Heading3"/>
      </w:pPr>
      <w:r w:rsidRPr="002A0E3A">
        <w:rPr>
          <w:rFonts w:eastAsia="Futura Bk BT"/>
        </w:rPr>
        <w:t>Education and Outreach</w:t>
      </w:r>
    </w:p>
    <w:p w14:paraId="4E0ACCAA" w14:textId="719B0203" w:rsidR="009D3886" w:rsidRDefault="000840E3" w:rsidP="00E61F4E">
      <w:r>
        <w:t xml:space="preserve">The Delta Protection Commission </w:t>
      </w:r>
      <w:proofErr w:type="gramStart"/>
      <w:r>
        <w:t xml:space="preserve">is </w:t>
      </w:r>
      <w:r w:rsidR="00D75837">
        <w:t>able</w:t>
      </w:r>
      <w:r>
        <w:t xml:space="preserve"> to</w:t>
      </w:r>
      <w:proofErr w:type="gramEnd"/>
      <w:r>
        <w:t xml:space="preserve"> </w:t>
      </w:r>
      <w:r w:rsidR="009D3886">
        <w:t>develop and implement educational and interpretive programs</w:t>
      </w:r>
      <w:r>
        <w:t xml:space="preserve"> with state </w:t>
      </w:r>
      <w:r w:rsidR="00EB5F98">
        <w:t xml:space="preserve">and local </w:t>
      </w:r>
      <w:r>
        <w:t>organizations</w:t>
      </w:r>
      <w:r w:rsidR="009D3886">
        <w:t xml:space="preserve"> to raise a</w:t>
      </w:r>
      <w:r>
        <w:t>wareness about the</w:t>
      </w:r>
      <w:r w:rsidR="009D3886">
        <w:t xml:space="preserve"> significance</w:t>
      </w:r>
      <w:r w:rsidR="00EB5F98">
        <w:t xml:space="preserve"> of the Sacramento-San Joaquin Delta NHA</w:t>
      </w:r>
      <w:r w:rsidR="009D3886">
        <w:t xml:space="preserve">. This </w:t>
      </w:r>
      <w:r w:rsidR="00EB5F98">
        <w:t>education outreach includes</w:t>
      </w:r>
      <w:r w:rsidR="009D3886">
        <w:t xml:space="preserve"> </w:t>
      </w:r>
      <w:r w:rsidR="00EB5F98">
        <w:t xml:space="preserve">formal curriculum development for students at all levels, </w:t>
      </w:r>
      <w:r w:rsidR="00435EC7">
        <w:t>as well as</w:t>
      </w:r>
      <w:r w:rsidR="00EB5F98">
        <w:t xml:space="preserve"> working with other organizations to create </w:t>
      </w:r>
      <w:r w:rsidR="009D3886">
        <w:t>visitor centers</w:t>
      </w:r>
      <w:r w:rsidR="00EB5F98">
        <w:t xml:space="preserve"> or kiosks</w:t>
      </w:r>
      <w:r w:rsidR="009D3886">
        <w:t xml:space="preserve">, </w:t>
      </w:r>
      <w:r w:rsidR="00EB5F98">
        <w:t xml:space="preserve">develop and conduct guided tours, and </w:t>
      </w:r>
      <w:r w:rsidR="00B3565B">
        <w:t xml:space="preserve">develop </w:t>
      </w:r>
      <w:r w:rsidR="009D3886">
        <w:t>educational materials</w:t>
      </w:r>
      <w:r w:rsidR="00EB5F98">
        <w:t xml:space="preserve"> for the </w:t>
      </w:r>
      <w:r w:rsidR="001D3019">
        <w:t>public</w:t>
      </w:r>
      <w:r w:rsidR="00A0422E">
        <w:t>.</w:t>
      </w:r>
    </w:p>
    <w:p w14:paraId="05CEED84" w14:textId="77777777" w:rsidR="002A0E3A" w:rsidRDefault="009D3886" w:rsidP="00E61F4E">
      <w:pPr>
        <w:pStyle w:val="Heading3"/>
      </w:pPr>
      <w:r w:rsidRPr="002A0E3A">
        <w:rPr>
          <w:rFonts w:eastAsia="Futura Bk BT"/>
        </w:rPr>
        <w:t>Planning and Management</w:t>
      </w:r>
    </w:p>
    <w:p w14:paraId="1EAE2D45" w14:textId="58DAA1DF" w:rsidR="009D3886" w:rsidRDefault="00EB5F98" w:rsidP="00E61F4E">
      <w:r>
        <w:t>The Delta Protection Commission can be an instrumental partner as a state agency i</w:t>
      </w:r>
      <w:r w:rsidR="00857E02">
        <w:t xml:space="preserve">n the development of </w:t>
      </w:r>
      <w:r w:rsidR="001D3019">
        <w:t>plans</w:t>
      </w:r>
      <w:r w:rsidR="00857E02">
        <w:t xml:space="preserve"> and strategies as the Sacramento-San Joaquin Delta National Heritage Area matures. With its highly specialized and professional staff, its relationship and influence with other state agencies and local governments, and the </w:t>
      </w:r>
      <w:r>
        <w:t xml:space="preserve">capacity </w:t>
      </w:r>
      <w:r w:rsidR="00857E02">
        <w:t>of the California government, the NHA could realize opportunities vastly different from other NHAs that lack such gravitas.</w:t>
      </w:r>
      <w:r w:rsidR="004F31BB">
        <w:t xml:space="preserve"> Additionally, </w:t>
      </w:r>
      <w:r w:rsidR="00B3565B">
        <w:t xml:space="preserve">the </w:t>
      </w:r>
      <w:r w:rsidR="004F31BB">
        <w:t xml:space="preserve">DPC is one of several governmental </w:t>
      </w:r>
      <w:r w:rsidR="00F60B6F">
        <w:t>agencies that</w:t>
      </w:r>
      <w:r w:rsidR="004F31BB">
        <w:t xml:space="preserve"> have taken an active role in regional planning within the Delta. Many of those plans contain recommendations on cultural conservation, </w:t>
      </w:r>
      <w:r w:rsidR="00677889">
        <w:t xml:space="preserve">economic development, </w:t>
      </w:r>
      <w:r w:rsidR="004F31BB">
        <w:t xml:space="preserve">heritage preservation, </w:t>
      </w:r>
      <w:r w:rsidR="00677889">
        <w:t xml:space="preserve">recreational trails, </w:t>
      </w:r>
      <w:r w:rsidR="004F31BB">
        <w:t xml:space="preserve">and environmental stewardship, </w:t>
      </w:r>
      <w:proofErr w:type="gramStart"/>
      <w:r w:rsidR="004F31BB">
        <w:t>similar to</w:t>
      </w:r>
      <w:proofErr w:type="gramEnd"/>
      <w:r w:rsidR="004F31BB">
        <w:t xml:space="preserve"> the </w:t>
      </w:r>
      <w:r w:rsidR="00B3565B">
        <w:t xml:space="preserve">overarching </w:t>
      </w:r>
      <w:r w:rsidR="004F31BB">
        <w:t xml:space="preserve">goals of the Sacramento-San Joaquin Delta NHA. If </w:t>
      </w:r>
      <w:r w:rsidR="00B3565B">
        <w:t xml:space="preserve">the </w:t>
      </w:r>
      <w:r w:rsidR="004F31BB">
        <w:t xml:space="preserve">DPC did nothing else but work as a partner to assist with the </w:t>
      </w:r>
      <w:r w:rsidR="004F31BB">
        <w:lastRenderedPageBreak/>
        <w:t>implementation of those plans, the Sacramento-San Joaquin Delta NHA would experience successful advancement of heritage development.</w:t>
      </w:r>
    </w:p>
    <w:p w14:paraId="1BAD0FA7" w14:textId="77777777" w:rsidR="002A0E3A" w:rsidRDefault="009D3886" w:rsidP="00E61F4E">
      <w:pPr>
        <w:pStyle w:val="Heading3"/>
      </w:pPr>
      <w:r w:rsidRPr="002A0E3A">
        <w:rPr>
          <w:rFonts w:eastAsia="Futura Bk BT"/>
        </w:rPr>
        <w:t>Advo</w:t>
      </w:r>
      <w:r w:rsidR="000701EC" w:rsidRPr="002A0E3A">
        <w:rPr>
          <w:rFonts w:eastAsia="Futura Bk BT"/>
        </w:rPr>
        <w:t>cacy and Support</w:t>
      </w:r>
    </w:p>
    <w:p w14:paraId="207D8B95" w14:textId="78521AA6" w:rsidR="009D3886" w:rsidRDefault="00EB5F98" w:rsidP="00E61F4E">
      <w:r>
        <w:t xml:space="preserve">The Delta Protection Commission </w:t>
      </w:r>
      <w:r w:rsidR="009D3886">
        <w:t xml:space="preserve">can advocate for the </w:t>
      </w:r>
      <w:r w:rsidR="000701EC">
        <w:t>Sacramento-San Joaquin Delta National Heritage A</w:t>
      </w:r>
      <w:r w:rsidR="009D3886">
        <w:t>rea at the state level, working to garner support from state legislators an</w:t>
      </w:r>
      <w:r>
        <w:t>d agencies</w:t>
      </w:r>
      <w:r w:rsidR="00615D3D">
        <w:t xml:space="preserve"> many of which ar</w:t>
      </w:r>
      <w:r w:rsidR="00F60B6F">
        <w:t>e represented on the Commission</w:t>
      </w:r>
      <w:r>
        <w:t xml:space="preserve">. It </w:t>
      </w:r>
      <w:r w:rsidR="009D3886">
        <w:t>can also provide technical assistance and support to local stakeholders</w:t>
      </w:r>
      <w:r>
        <w:t xml:space="preserve"> by assisting those partners to gain access to government officials that might otherwise be </w:t>
      </w:r>
      <w:r w:rsidR="00F60B6F">
        <w:t xml:space="preserve">difficult to </w:t>
      </w:r>
      <w:r>
        <w:t>reach for a local group or organization</w:t>
      </w:r>
      <w:r w:rsidR="009D3886">
        <w:t>.</w:t>
      </w:r>
    </w:p>
    <w:p w14:paraId="4960488C" w14:textId="77777777" w:rsidR="002A0E3A" w:rsidRDefault="009D3886" w:rsidP="00E61F4E">
      <w:pPr>
        <w:pStyle w:val="Heading3"/>
      </w:pPr>
      <w:r w:rsidRPr="002A0E3A">
        <w:rPr>
          <w:rFonts w:eastAsia="Futura Bk BT"/>
        </w:rPr>
        <w:t>Long-term</w:t>
      </w:r>
      <w:r w:rsidR="00131B78" w:rsidRPr="002A0E3A">
        <w:rPr>
          <w:rFonts w:eastAsia="Futura Bk BT"/>
        </w:rPr>
        <w:t xml:space="preserve"> Sustainability</w:t>
      </w:r>
    </w:p>
    <w:p w14:paraId="134660E5" w14:textId="7D7801EA" w:rsidR="009D3886" w:rsidRDefault="00AA6D95" w:rsidP="00E61F4E">
      <w:r w:rsidRPr="00AA6D95">
        <w:t>While one of the biggest challenges for many NHAs is raising operational funds that are the bedrock for budgetary sustainability, this is not the case for the DPC as the coordinating entity for the Sacramento-San Joaquin Delta NHA</w:t>
      </w:r>
      <w:r>
        <w:t xml:space="preserve">. </w:t>
      </w:r>
      <w:r w:rsidR="00131B78">
        <w:t>As an establis</w:t>
      </w:r>
      <w:r w:rsidR="00EB5F98">
        <w:t xml:space="preserve">hed California state agency, the Delta Protection Commission </w:t>
      </w:r>
      <w:r w:rsidR="009D3886">
        <w:t>ensure</w:t>
      </w:r>
      <w:r w:rsidR="00131B78">
        <w:t>s</w:t>
      </w:r>
      <w:r w:rsidR="009D3886">
        <w:t xml:space="preserve"> the long-term sus</w:t>
      </w:r>
      <w:r w:rsidR="00EB5F98">
        <w:t>tainability of the Sacramento-San Joaquin Delta National Heritage Area</w:t>
      </w:r>
      <w:r w:rsidR="00131B78">
        <w:t xml:space="preserve"> </w:t>
      </w:r>
      <w:r w:rsidR="00B3565B">
        <w:t xml:space="preserve">because </w:t>
      </w:r>
      <w:r w:rsidR="00131B78">
        <w:t xml:space="preserve">the operational funding needed for staff and other administrative support </w:t>
      </w:r>
      <w:r w:rsidR="00B3565B">
        <w:t>i</w:t>
      </w:r>
      <w:r w:rsidR="00131B78">
        <w:t xml:space="preserve">s </w:t>
      </w:r>
      <w:r w:rsidR="00554B0D">
        <w:t xml:space="preserve">already provided through </w:t>
      </w:r>
      <w:r w:rsidR="00131B78">
        <w:t>funding fro</w:t>
      </w:r>
      <w:r w:rsidR="00554B0D">
        <w:t>m the state's budget.</w:t>
      </w:r>
      <w:r w:rsidR="00493A61">
        <w:t xml:space="preserve"> </w:t>
      </w:r>
    </w:p>
    <w:p w14:paraId="629CBE49" w14:textId="77777777" w:rsidR="002A0E3A" w:rsidRDefault="009D3886" w:rsidP="00E61F4E">
      <w:pPr>
        <w:pStyle w:val="Heading3"/>
      </w:pPr>
      <w:r w:rsidRPr="002A0E3A">
        <w:rPr>
          <w:rFonts w:eastAsia="Futura Bk BT"/>
        </w:rPr>
        <w:t>Accountability an</w:t>
      </w:r>
      <w:r w:rsidR="00131B78" w:rsidRPr="002A0E3A">
        <w:rPr>
          <w:rFonts w:eastAsia="Futura Bk BT"/>
        </w:rPr>
        <w:t>d Reporting</w:t>
      </w:r>
    </w:p>
    <w:p w14:paraId="2DCEBBF7" w14:textId="27B0624E" w:rsidR="009D3886" w:rsidRDefault="00131B78" w:rsidP="00E61F4E">
      <w:r>
        <w:t>As a state agency</w:t>
      </w:r>
      <w:r w:rsidR="00554B0D">
        <w:t>, the Delta Protection Commission</w:t>
      </w:r>
      <w:r>
        <w:t xml:space="preserve"> </w:t>
      </w:r>
      <w:r w:rsidR="009D3886">
        <w:t>provide</w:t>
      </w:r>
      <w:r>
        <w:t>s</w:t>
      </w:r>
      <w:r w:rsidR="009D3886">
        <w:t xml:space="preserve"> transparency and accountability by reporting on the progress and impact of </w:t>
      </w:r>
      <w:r w:rsidR="00554B0D">
        <w:t>the Sacramento-San Joaquin Delta National Heritage A</w:t>
      </w:r>
      <w:r w:rsidR="009D3886">
        <w:t>rea initiatives. This can be important for demonstrating th</w:t>
      </w:r>
      <w:r>
        <w:t xml:space="preserve">e effectiveness of the NHA's programs and projects </w:t>
      </w:r>
      <w:r w:rsidR="009D3886">
        <w:t xml:space="preserve">to </w:t>
      </w:r>
      <w:r>
        <w:t xml:space="preserve">partners, stakeholders, state of California officials, NPS, the U.S. Congress, </w:t>
      </w:r>
      <w:r w:rsidR="009D3886">
        <w:t>funders</w:t>
      </w:r>
      <w:r w:rsidR="00554B0D">
        <w:t>, and the public at large</w:t>
      </w:r>
      <w:r w:rsidR="003A1761">
        <w:t>.</w:t>
      </w:r>
      <w:r w:rsidR="00AA6D95">
        <w:t xml:space="preserve"> With an in-house communications staff, DPC can ensure information is shared on programs and projects as they advance.</w:t>
      </w:r>
    </w:p>
    <w:p w14:paraId="673205B5" w14:textId="77777777" w:rsidR="002A0E3A" w:rsidRDefault="00554B0D" w:rsidP="00E61F4E">
      <w:pPr>
        <w:pStyle w:val="Heading3"/>
      </w:pPr>
      <w:r w:rsidRPr="002A0E3A">
        <w:rPr>
          <w:rFonts w:eastAsia="Futura Bk BT"/>
        </w:rPr>
        <w:t xml:space="preserve">Financial and </w:t>
      </w:r>
      <w:r w:rsidR="009D3886" w:rsidRPr="002A0E3A">
        <w:rPr>
          <w:rFonts w:eastAsia="Futura Bk BT"/>
        </w:rPr>
        <w:t>Grant</w:t>
      </w:r>
      <w:r w:rsidR="00131B78" w:rsidRPr="002A0E3A">
        <w:rPr>
          <w:rFonts w:eastAsia="Futura Bk BT"/>
        </w:rPr>
        <w:t xml:space="preserve"> Administration</w:t>
      </w:r>
    </w:p>
    <w:p w14:paraId="41719CE3" w14:textId="57183ED4" w:rsidR="00C311DA" w:rsidRDefault="00351FF2" w:rsidP="00E61F4E">
      <w:r w:rsidRPr="00351FF2">
        <w:t xml:space="preserve">The Delta Protection Commission, which already </w:t>
      </w:r>
      <w:r w:rsidR="00615D3D">
        <w:t xml:space="preserve">receives </w:t>
      </w:r>
      <w:r w:rsidRPr="00351FF2">
        <w:t xml:space="preserve">grants for various programs and oversees the agency's overall budget, </w:t>
      </w:r>
      <w:r w:rsidR="00E115B3">
        <w:t>has the capacity to m</w:t>
      </w:r>
      <w:r w:rsidRPr="00351FF2">
        <w:t>anage</w:t>
      </w:r>
      <w:r w:rsidR="00E115B3">
        <w:t xml:space="preserve"> NHA</w:t>
      </w:r>
      <w:r w:rsidRPr="00351FF2">
        <w:t xml:space="preserve"> grants and funding programs</w:t>
      </w:r>
      <w:r w:rsidR="00AA21CC">
        <w:t>. This includes</w:t>
      </w:r>
      <w:r w:rsidRPr="00351FF2">
        <w:t xml:space="preserve"> financial reporting</w:t>
      </w:r>
      <w:r w:rsidR="004A4BB8">
        <w:t xml:space="preserve"> and</w:t>
      </w:r>
      <w:r w:rsidRPr="00351FF2">
        <w:t xml:space="preserve"> </w:t>
      </w:r>
      <w:r w:rsidR="00AA6D95">
        <w:t>managing</w:t>
      </w:r>
      <w:r w:rsidR="00AA21CC">
        <w:t xml:space="preserve"> </w:t>
      </w:r>
      <w:r w:rsidRPr="00351FF2">
        <w:t>grants to local NHA partners.</w:t>
      </w:r>
      <w:r w:rsidR="00AA6D95">
        <w:t xml:space="preserve"> </w:t>
      </w:r>
      <w:r w:rsidR="00CC7C3C">
        <w:t xml:space="preserve">The </w:t>
      </w:r>
      <w:r w:rsidR="00AA6D95">
        <w:t>DPC's finance team has extensive</w:t>
      </w:r>
      <w:r w:rsidR="00615D3D">
        <w:t xml:space="preserve"> </w:t>
      </w:r>
      <w:r w:rsidR="004A4BB8">
        <w:t>budgeting</w:t>
      </w:r>
      <w:r w:rsidR="00AA6D95">
        <w:t xml:space="preserve"> and accounting experience and provide</w:t>
      </w:r>
      <w:r w:rsidR="001D3019">
        <w:t>s</w:t>
      </w:r>
      <w:r w:rsidR="00AA6D95">
        <w:t xml:space="preserve"> transparent reporting on all financial matters.</w:t>
      </w:r>
    </w:p>
    <w:p w14:paraId="5D0BCFC4" w14:textId="5556A19C" w:rsidR="00895EAB" w:rsidRPr="00857E02" w:rsidRDefault="00C311DA" w:rsidP="00E61F4E">
      <w:pPr>
        <w:pStyle w:val="Heading2"/>
      </w:pPr>
      <w:r w:rsidRPr="00857E02">
        <w:t>Potential Disadvantages</w:t>
      </w:r>
      <w:r w:rsidR="0055469A" w:rsidRPr="00857E02">
        <w:t xml:space="preserve"> of a State Agency</w:t>
      </w:r>
    </w:p>
    <w:p w14:paraId="2C6E6D8C" w14:textId="6208FE87" w:rsidR="00895EAB" w:rsidRDefault="00895EAB" w:rsidP="00E61F4E">
      <w:r>
        <w:t>While there are several adva</w:t>
      </w:r>
      <w:r w:rsidR="00924EB3">
        <w:t xml:space="preserve">ntages to having a state agency </w:t>
      </w:r>
      <w:r>
        <w:t xml:space="preserve">serve as the coordinating entity for a </w:t>
      </w:r>
      <w:r w:rsidR="00AA21CC">
        <w:t>National Heritage Area</w:t>
      </w:r>
      <w:r>
        <w:t xml:space="preserve">, there are also potential disadvantages and challenges associated with this arrangement. These disadvantages can vary depending on the specific circumstances and the effectiveness of the state agency in question. </w:t>
      </w:r>
      <w:r w:rsidR="00AA21CC">
        <w:t xml:space="preserve">Below </w:t>
      </w:r>
      <w:r>
        <w:t>a</w:t>
      </w:r>
      <w:r w:rsidR="00EF4B3A">
        <w:t>re some potential disadvantages for the Sacramento-San Joaquin Delta National Heritage Area</w:t>
      </w:r>
      <w:r w:rsidR="00AA21CC">
        <w:t xml:space="preserve"> to be housed as a program within a state agency.</w:t>
      </w:r>
    </w:p>
    <w:p w14:paraId="406285B0" w14:textId="77777777" w:rsidR="002A0E3A" w:rsidRDefault="00895EAB" w:rsidP="00E61F4E">
      <w:pPr>
        <w:pStyle w:val="Heading3"/>
      </w:pPr>
      <w:r w:rsidRPr="002A0E3A">
        <w:rPr>
          <w:rFonts w:eastAsia="Futura Bk BT"/>
        </w:rPr>
        <w:lastRenderedPageBreak/>
        <w:t>Bureaucr</w:t>
      </w:r>
      <w:r w:rsidR="0055469A" w:rsidRPr="002A0E3A">
        <w:rPr>
          <w:rFonts w:eastAsia="Futura Bk BT"/>
        </w:rPr>
        <w:t>acy and Red Tape</w:t>
      </w:r>
    </w:p>
    <w:p w14:paraId="361694B8" w14:textId="133A2011" w:rsidR="00895EAB" w:rsidRDefault="00BC1F06" w:rsidP="00E61F4E">
      <w:r>
        <w:t xml:space="preserve">While the DPC is small, flexible, and a responsive state agency, other agencies of California state government </w:t>
      </w:r>
      <w:r w:rsidR="00895EAB">
        <w:t>can sometimes be bureaucratic an</w:t>
      </w:r>
      <w:r w:rsidR="00EF4B3A">
        <w:t xml:space="preserve">d </w:t>
      </w:r>
      <w:r w:rsidR="001E0BFD">
        <w:t>slow-moving</w:t>
      </w:r>
      <w:r w:rsidR="00EF4B3A">
        <w:t xml:space="preserve">. The ability to be agile and responsive is </w:t>
      </w:r>
      <w:r w:rsidR="00AA21CC">
        <w:t xml:space="preserve">often </w:t>
      </w:r>
      <w:r w:rsidR="00EF4B3A">
        <w:t xml:space="preserve">necessary for the </w:t>
      </w:r>
      <w:r w:rsidR="00895EAB">
        <w:t>effective management an</w:t>
      </w:r>
      <w:r w:rsidR="00EF4B3A">
        <w:t xml:space="preserve">d coordination of </w:t>
      </w:r>
      <w:r w:rsidR="00AA21CC">
        <w:t>National Heritage Areas</w:t>
      </w:r>
      <w:r w:rsidR="001E0BFD">
        <w:t xml:space="preserve">. </w:t>
      </w:r>
      <w:r w:rsidR="002C4D39">
        <w:t>T</w:t>
      </w:r>
      <w:r w:rsidR="00EF4B3A">
        <w:t xml:space="preserve">he </w:t>
      </w:r>
      <w:r w:rsidR="00507030">
        <w:t>Sacramento</w:t>
      </w:r>
      <w:r w:rsidR="0055469A">
        <w:t xml:space="preserve">-San Joaquin Delta </w:t>
      </w:r>
      <w:r w:rsidR="002C4D39">
        <w:t>NHA</w:t>
      </w:r>
      <w:r w:rsidR="001E0BFD">
        <w:t xml:space="preserve"> could experience problems</w:t>
      </w:r>
      <w:r w:rsidR="00EF4B3A">
        <w:t xml:space="preserve"> if </w:t>
      </w:r>
      <w:r w:rsidR="001E0BFD">
        <w:t>an uncooperative</w:t>
      </w:r>
      <w:r w:rsidR="00EF4B3A">
        <w:t xml:space="preserve"> or intractable</w:t>
      </w:r>
      <w:r w:rsidR="001E0BFD">
        <w:t xml:space="preserve"> system of state government</w:t>
      </w:r>
      <w:r>
        <w:t xml:space="preserve"> outside of the DPC</w:t>
      </w:r>
      <w:r w:rsidR="001E0BFD">
        <w:t xml:space="preserve"> </w:t>
      </w:r>
      <w:r>
        <w:t>creates hurdles that hamstring</w:t>
      </w:r>
      <w:r w:rsidR="00EF4B3A">
        <w:t xml:space="preserve"> the NHA</w:t>
      </w:r>
      <w:r w:rsidR="00CE10AA">
        <w:t>'s operations or flexibility</w:t>
      </w:r>
      <w:r w:rsidR="00EF4B3A">
        <w:t>.</w:t>
      </w:r>
    </w:p>
    <w:p w14:paraId="64BB82F4" w14:textId="6EA01B08" w:rsidR="002A0E3A" w:rsidRDefault="00895EAB" w:rsidP="00E61F4E">
      <w:pPr>
        <w:pStyle w:val="Heading3"/>
      </w:pPr>
      <w:r w:rsidRPr="002A0E3A">
        <w:rPr>
          <w:rFonts w:eastAsia="Futura Bk BT"/>
        </w:rPr>
        <w:t xml:space="preserve">Resource </w:t>
      </w:r>
      <w:r w:rsidR="00CE10AA">
        <w:rPr>
          <w:rFonts w:eastAsia="Futura Bk BT"/>
        </w:rPr>
        <w:t xml:space="preserve">and Time </w:t>
      </w:r>
      <w:r w:rsidRPr="002A0E3A">
        <w:rPr>
          <w:rFonts w:eastAsia="Futura Bk BT"/>
        </w:rPr>
        <w:t>Allocation Challenges</w:t>
      </w:r>
    </w:p>
    <w:p w14:paraId="31C97260" w14:textId="694BF1EE" w:rsidR="00895EAB" w:rsidRDefault="0055469A" w:rsidP="00E61F4E">
      <w:r>
        <w:t xml:space="preserve">While </w:t>
      </w:r>
      <w:r w:rsidR="001E0BFD">
        <w:t>the Delta Protection Commission</w:t>
      </w:r>
      <w:r>
        <w:t xml:space="preserve"> has an established operational budget</w:t>
      </w:r>
      <w:r w:rsidR="001E0BFD">
        <w:t xml:space="preserve"> that supports staffing for the Sacramento-San Joaquin Delta </w:t>
      </w:r>
      <w:r w:rsidR="002C4D39">
        <w:t>NHA</w:t>
      </w:r>
      <w:r>
        <w:t xml:space="preserve">, </w:t>
      </w:r>
      <w:r w:rsidR="00895EAB">
        <w:t>competing pr</w:t>
      </w:r>
      <w:r>
        <w:t>iorities</w:t>
      </w:r>
      <w:r w:rsidR="00CE10AA">
        <w:t xml:space="preserve">, </w:t>
      </w:r>
      <w:r>
        <w:t>limited resources</w:t>
      </w:r>
      <w:r w:rsidR="00CE10AA">
        <w:t>, and other projects within the DPC that require staff time</w:t>
      </w:r>
      <w:r>
        <w:t xml:space="preserve"> could arise in future years, </w:t>
      </w:r>
      <w:r w:rsidR="00895EAB">
        <w:t xml:space="preserve">which could result in inadequate funding and support </w:t>
      </w:r>
      <w:r w:rsidR="002C4D39">
        <w:t xml:space="preserve">to carry out </w:t>
      </w:r>
      <w:r>
        <w:t>the NHA</w:t>
      </w:r>
      <w:r w:rsidR="00924EB3">
        <w:t>'s programs and projects</w:t>
      </w:r>
      <w:r w:rsidR="002C4D39">
        <w:t xml:space="preserve"> </w:t>
      </w:r>
      <w:r w:rsidR="0072292A">
        <w:t xml:space="preserve">outlined </w:t>
      </w:r>
      <w:r w:rsidR="004A4BB8">
        <w:t>in</w:t>
      </w:r>
      <w:r w:rsidR="002C4D39">
        <w:t xml:space="preserve"> this management plan</w:t>
      </w:r>
      <w:r w:rsidR="00895EAB">
        <w:t>.</w:t>
      </w:r>
    </w:p>
    <w:p w14:paraId="59178FBC" w14:textId="77777777" w:rsidR="002A0E3A" w:rsidRDefault="00895EAB" w:rsidP="00E61F4E">
      <w:pPr>
        <w:pStyle w:val="Heading3"/>
      </w:pPr>
      <w:r w:rsidRPr="002A0E3A">
        <w:rPr>
          <w:rFonts w:eastAsia="Futura Bk BT"/>
        </w:rPr>
        <w:t>Political Influence</w:t>
      </w:r>
    </w:p>
    <w:p w14:paraId="5A5E2DC7" w14:textId="0065FB39" w:rsidR="00895EAB" w:rsidRDefault="00BE2227" w:rsidP="00E61F4E">
      <w:r>
        <w:t>L</w:t>
      </w:r>
      <w:r w:rsidRPr="00BE2227">
        <w:t xml:space="preserve">egislatures or governors have imposed influence on other NHAs by exerting authority over staff management and agency decisions or by influencing the participation or philosophy of citizen involvement in quasi-governing bodies of the NHA. </w:t>
      </w:r>
      <w:r w:rsidR="00895EAB">
        <w:t>The direction and funding of a</w:t>
      </w:r>
      <w:r w:rsidR="0055469A">
        <w:t>ny</w:t>
      </w:r>
      <w:r w:rsidR="00507030">
        <w:t xml:space="preserve"> agency can be swayed </w:t>
      </w:r>
      <w:r w:rsidR="00895EAB">
        <w:t>by changes in political leadership and priorities</w:t>
      </w:r>
      <w:r w:rsidR="00924EB3">
        <w:t xml:space="preserve"> at the legislative and/or executive levels of </w:t>
      </w:r>
      <w:r w:rsidR="0055469A">
        <w:t xml:space="preserve">state </w:t>
      </w:r>
      <w:r w:rsidR="00924EB3">
        <w:t>government</w:t>
      </w:r>
      <w:r w:rsidR="00895EAB">
        <w:t>. This c</w:t>
      </w:r>
      <w:r w:rsidR="0072292A">
        <w:t xml:space="preserve">ould </w:t>
      </w:r>
      <w:r w:rsidR="00895EAB">
        <w:t>lead to fluctuations in s</w:t>
      </w:r>
      <w:r w:rsidR="001E0BFD">
        <w:t>upport for the Sacrament</w:t>
      </w:r>
      <w:r w:rsidR="002C4D39">
        <w:t>o</w:t>
      </w:r>
      <w:r w:rsidR="001E0BFD">
        <w:t xml:space="preserve">-San Joaquin Delta </w:t>
      </w:r>
      <w:r w:rsidR="002C4D39">
        <w:t>NHA</w:t>
      </w:r>
      <w:r w:rsidR="00895EAB">
        <w:t>.</w:t>
      </w:r>
      <w:r w:rsidR="00924EB3">
        <w:t xml:space="preserve"> </w:t>
      </w:r>
    </w:p>
    <w:p w14:paraId="3A3380FD" w14:textId="77777777" w:rsidR="002A0E3A" w:rsidRDefault="00EF5737" w:rsidP="00E61F4E">
      <w:pPr>
        <w:pStyle w:val="Heading3"/>
      </w:pPr>
      <w:r w:rsidRPr="002A0E3A">
        <w:rPr>
          <w:rFonts w:eastAsia="Futura Bk BT"/>
        </w:rPr>
        <w:t>Fun</w:t>
      </w:r>
      <w:r w:rsidR="0055469A" w:rsidRPr="002A0E3A">
        <w:rPr>
          <w:rFonts w:eastAsia="Futura Bk BT"/>
        </w:rPr>
        <w:t>ding Uncertainty</w:t>
      </w:r>
    </w:p>
    <w:p w14:paraId="407B2E73" w14:textId="0204F1D1" w:rsidR="00EF5737" w:rsidRDefault="00E115B3" w:rsidP="00E61F4E">
      <w:r>
        <w:t xml:space="preserve">Relying too much on state funding as the only other source of funds could </w:t>
      </w:r>
      <w:r w:rsidR="0055469A">
        <w:t xml:space="preserve">result </w:t>
      </w:r>
      <w:r w:rsidR="002C4D39">
        <w:t>i</w:t>
      </w:r>
      <w:r w:rsidR="0055469A">
        <w:t>n problems</w:t>
      </w:r>
      <w:r w:rsidR="002C4D39">
        <w:t>. The</w:t>
      </w:r>
      <w:r w:rsidR="00EF5737" w:rsidRPr="00EF5737">
        <w:t xml:space="preserve"> availability of </w:t>
      </w:r>
      <w:r>
        <w:t xml:space="preserve">state </w:t>
      </w:r>
      <w:r w:rsidR="00EF5737" w:rsidRPr="00EF5737">
        <w:t>funds can be su</w:t>
      </w:r>
      <w:r w:rsidR="0055469A">
        <w:t xml:space="preserve">bject to economic downturns, </w:t>
      </w:r>
      <w:r w:rsidR="00EF5737" w:rsidRPr="00EF5737">
        <w:t xml:space="preserve">budget constraints, </w:t>
      </w:r>
      <w:r w:rsidR="0055469A">
        <w:t xml:space="preserve">or politics (as stated above), </w:t>
      </w:r>
      <w:r w:rsidR="00EF5737" w:rsidRPr="00EF5737">
        <w:t>leading to uncertainty in financial support.</w:t>
      </w:r>
    </w:p>
    <w:p w14:paraId="5A2EBA1C" w14:textId="77777777" w:rsidR="002A0E3A" w:rsidRDefault="00895EAB" w:rsidP="00E61F4E">
      <w:pPr>
        <w:pStyle w:val="Heading3"/>
      </w:pPr>
      <w:r w:rsidRPr="002A0E3A">
        <w:rPr>
          <w:rFonts w:eastAsia="Futura Bk BT"/>
        </w:rPr>
        <w:t>Lack of Specialization</w:t>
      </w:r>
    </w:p>
    <w:p w14:paraId="5CCC0074" w14:textId="12BD86DE" w:rsidR="00895EAB" w:rsidRDefault="00EF5737" w:rsidP="00E61F4E">
      <w:r>
        <w:t xml:space="preserve">State agencies often have narrow </w:t>
      </w:r>
      <w:r w:rsidR="00895EAB">
        <w:t>responsibilit</w:t>
      </w:r>
      <w:r>
        <w:t>ies and may lack the broad</w:t>
      </w:r>
      <w:r w:rsidR="00895EAB">
        <w:t xml:space="preserve"> knowledge and expertise required t</w:t>
      </w:r>
      <w:r>
        <w:t xml:space="preserve">o manage the multitude of issues with the </w:t>
      </w:r>
      <w:r w:rsidR="00895EAB">
        <w:t xml:space="preserve">cultural, historical, and natural </w:t>
      </w:r>
      <w:r>
        <w:t xml:space="preserve">resources within a </w:t>
      </w:r>
      <w:r w:rsidR="002C4D39">
        <w:t>National Heritage Area</w:t>
      </w:r>
      <w:r w:rsidR="00895EAB">
        <w:t>.</w:t>
      </w:r>
      <w:r w:rsidR="00E44526">
        <w:t xml:space="preserve"> The complexity of the needs of the communities within the Sacramento-San Joaquin Delta </w:t>
      </w:r>
      <w:r w:rsidR="002C4D39">
        <w:t>NHA</w:t>
      </w:r>
      <w:r w:rsidR="00E44526">
        <w:t xml:space="preserve"> will require other professional specializations and support outside of </w:t>
      </w:r>
      <w:r w:rsidR="002C4D39">
        <w:t xml:space="preserve">the DPC's </w:t>
      </w:r>
      <w:r w:rsidR="00E44526">
        <w:t xml:space="preserve">current staffing structure. </w:t>
      </w:r>
    </w:p>
    <w:p w14:paraId="6F7329B1" w14:textId="77777777" w:rsidR="002A0E3A" w:rsidRDefault="00895EAB" w:rsidP="00E61F4E">
      <w:pPr>
        <w:pStyle w:val="Heading3"/>
      </w:pPr>
      <w:r w:rsidRPr="002A0E3A">
        <w:rPr>
          <w:rFonts w:eastAsia="Futura Bk BT"/>
        </w:rPr>
        <w:t>Inconsistent Focus</w:t>
      </w:r>
    </w:p>
    <w:p w14:paraId="6CFBBCBF" w14:textId="62C0C33B" w:rsidR="00895EAB" w:rsidRDefault="00895EAB" w:rsidP="00E61F4E">
      <w:r>
        <w:t xml:space="preserve">A state agency may have to oversee </w:t>
      </w:r>
      <w:r w:rsidR="00EF5737">
        <w:t>multiple</w:t>
      </w:r>
      <w:r>
        <w:t xml:space="preserve"> programs, which can lead to inconsistent attention and focus</w:t>
      </w:r>
      <w:r w:rsidR="00EF5737">
        <w:t xml:space="preserve"> by the agency's staff</w:t>
      </w:r>
      <w:r>
        <w:t xml:space="preserve"> on the specific needs </w:t>
      </w:r>
      <w:r w:rsidR="00E44526">
        <w:t>of a</w:t>
      </w:r>
      <w:r w:rsidR="00CC7C3C">
        <w:t>n</w:t>
      </w:r>
      <w:r w:rsidR="00E44526">
        <w:t xml:space="preserve"> </w:t>
      </w:r>
      <w:r w:rsidR="002C4D39">
        <w:t>NHA</w:t>
      </w:r>
      <w:r w:rsidR="00E44526">
        <w:t xml:space="preserve">. The </w:t>
      </w:r>
      <w:r w:rsidR="002C4D39">
        <w:t>DPC</w:t>
      </w:r>
      <w:r w:rsidR="00E44526">
        <w:t xml:space="preserve"> must always keep the Sacramento-San Joaquin Delta </w:t>
      </w:r>
      <w:r w:rsidR="002C4D39">
        <w:t>NHA</w:t>
      </w:r>
      <w:r w:rsidR="00E44526">
        <w:t xml:space="preserve"> as a priority</w:t>
      </w:r>
      <w:r w:rsidR="00901360">
        <w:t>,</w:t>
      </w:r>
      <w:r w:rsidR="00E44526">
        <w:t xml:space="preserve"> along with </w:t>
      </w:r>
      <w:r w:rsidR="002C4D39">
        <w:t>i</w:t>
      </w:r>
      <w:r w:rsidR="00E44526">
        <w:t>ts other programs</w:t>
      </w:r>
      <w:r w:rsidR="002C4D39">
        <w:t>'</w:t>
      </w:r>
      <w:r w:rsidR="00E44526">
        <w:t xml:space="preserve"> responsibilities.</w:t>
      </w:r>
    </w:p>
    <w:p w14:paraId="61D13464" w14:textId="77777777" w:rsidR="002A0E3A" w:rsidRDefault="00895EAB" w:rsidP="00E61F4E">
      <w:pPr>
        <w:pStyle w:val="Heading3"/>
      </w:pPr>
      <w:r w:rsidRPr="002A0E3A">
        <w:rPr>
          <w:rFonts w:eastAsia="Futura Bk BT"/>
        </w:rPr>
        <w:lastRenderedPageBreak/>
        <w:t>Coordination Challenges</w:t>
      </w:r>
    </w:p>
    <w:p w14:paraId="535DB37C" w14:textId="2A21A77B" w:rsidR="00895EAB" w:rsidRDefault="00895EAB" w:rsidP="00E61F4E">
      <w:r>
        <w:t>While state agencies can facilitate coordination, they may face challenges in bringing together diverse stakeholders with differing interests and objectives.</w:t>
      </w:r>
      <w:r w:rsidR="00E44526">
        <w:t xml:space="preserve"> These challenges were evident at the outset of the management planning process as the Delta Protection Commission </w:t>
      </w:r>
      <w:r w:rsidR="00B51525">
        <w:t xml:space="preserve">had to restart public </w:t>
      </w:r>
      <w:r w:rsidR="0072292A">
        <w:t>participation</w:t>
      </w:r>
      <w:r w:rsidR="00B51525">
        <w:t xml:space="preserve"> due to the length of time between the completion of the feasibility study and the passage</w:t>
      </w:r>
      <w:r w:rsidR="0072292A">
        <w:t xml:space="preserve"> of the designating legislation </w:t>
      </w:r>
      <w:r w:rsidR="00CD7640">
        <w:t xml:space="preserve">limited community </w:t>
      </w:r>
      <w:r w:rsidR="00E44526">
        <w:t xml:space="preserve">outreach or </w:t>
      </w:r>
      <w:r w:rsidR="002C4D39">
        <w:t>i</w:t>
      </w:r>
      <w:r w:rsidR="00E44526">
        <w:t>nvolvement. Nevertheless, during the management planning process, DPC developed and maintained a robust community outreach</w:t>
      </w:r>
      <w:r w:rsidR="002C4D39">
        <w:t xml:space="preserve"> </w:t>
      </w:r>
      <w:r w:rsidR="00E44526">
        <w:t xml:space="preserve">despite the </w:t>
      </w:r>
      <w:r w:rsidR="00756BD7">
        <w:t xml:space="preserve">impact of the </w:t>
      </w:r>
      <w:r w:rsidR="00E44526">
        <w:t>pandemic</w:t>
      </w:r>
      <w:r w:rsidR="00756BD7">
        <w:t xml:space="preserve"> on established pub</w:t>
      </w:r>
      <w:r w:rsidR="00BE2227">
        <w:t>l</w:t>
      </w:r>
      <w:r w:rsidR="00756BD7">
        <w:t>ic engagement methods</w:t>
      </w:r>
      <w:r w:rsidR="00E44526">
        <w:t xml:space="preserve">. Continued partner coordination will be critical for the successful </w:t>
      </w:r>
      <w:r w:rsidR="00756BD7">
        <w:t>i</w:t>
      </w:r>
      <w:r w:rsidR="00E44526">
        <w:t>mplementation of the management plan.</w:t>
      </w:r>
    </w:p>
    <w:p w14:paraId="08542312" w14:textId="77777777" w:rsidR="002A0E3A" w:rsidRDefault="00895EAB" w:rsidP="00E61F4E">
      <w:pPr>
        <w:pStyle w:val="Heading3"/>
      </w:pPr>
      <w:r w:rsidRPr="002A0E3A">
        <w:rPr>
          <w:rFonts w:eastAsia="Futura Bk BT"/>
        </w:rPr>
        <w:t>Resistance to Regulation</w:t>
      </w:r>
    </w:p>
    <w:p w14:paraId="2B0751AE" w14:textId="4CC6B544" w:rsidR="00895EAB" w:rsidRDefault="00895EAB" w:rsidP="00E61F4E">
      <w:r>
        <w:t xml:space="preserve">Local communities and businesses may </w:t>
      </w:r>
      <w:r w:rsidR="0072292A">
        <w:t>grow weary</w:t>
      </w:r>
      <w:r w:rsidR="001F0E13">
        <w:t xml:space="preserve"> of bureaucracy and </w:t>
      </w:r>
      <w:r>
        <w:t>resist state agency oversight and regulation, particularly if th</w:t>
      </w:r>
      <w:r w:rsidR="001F0E13">
        <w:t xml:space="preserve">ey perceive it as burdensome, </w:t>
      </w:r>
      <w:r>
        <w:t>restrictive</w:t>
      </w:r>
      <w:r w:rsidR="001F0E13">
        <w:t xml:space="preserve">, or ineffective. </w:t>
      </w:r>
      <w:r w:rsidR="00756BD7">
        <w:t xml:space="preserve">The </w:t>
      </w:r>
      <w:r w:rsidR="001F0E13">
        <w:t xml:space="preserve">DPC should always, to the best of its ability, work to create clear pathways to advance the Sacramento-San Joaquin Delta </w:t>
      </w:r>
      <w:r w:rsidR="00756BD7">
        <w:t>NHA</w:t>
      </w:r>
      <w:r w:rsidR="001F0E13">
        <w:t>'s programs and projects</w:t>
      </w:r>
      <w:r>
        <w:t>.</w:t>
      </w:r>
    </w:p>
    <w:p w14:paraId="6A90AFF0" w14:textId="77777777" w:rsidR="002A0E3A" w:rsidRDefault="00895EAB" w:rsidP="00E61F4E">
      <w:pPr>
        <w:pStyle w:val="Heading3"/>
      </w:pPr>
      <w:r w:rsidRPr="002A0E3A">
        <w:rPr>
          <w:rFonts w:eastAsia="Futura Bk BT"/>
        </w:rPr>
        <w:t>Lack of Accountability</w:t>
      </w:r>
    </w:p>
    <w:p w14:paraId="5D14E018" w14:textId="30294565" w:rsidR="00895EAB" w:rsidRDefault="00895EAB" w:rsidP="00E61F4E">
      <w:r w:rsidRPr="001F0E13">
        <w:t xml:space="preserve">State agencies may not always be held accountable for the outcomes and impacts of their management of </w:t>
      </w:r>
      <w:r w:rsidR="00756BD7">
        <w:t>National Heritage Areas</w:t>
      </w:r>
      <w:r w:rsidRPr="001F0E13">
        <w:t>, potentially leading to inefficiencies or mismanagement.</w:t>
      </w:r>
      <w:r w:rsidR="001F0E13">
        <w:t xml:space="preserve"> Within private organizations, these matters can be solved with </w:t>
      </w:r>
      <w:r w:rsidR="00901360">
        <w:t>personnel changes</w:t>
      </w:r>
      <w:r w:rsidR="001F0E13">
        <w:t xml:space="preserve">, but within public agencies, this becomes more difficult. As it does with </w:t>
      </w:r>
      <w:r w:rsidR="001D3019">
        <w:t>its entire</w:t>
      </w:r>
      <w:r w:rsidR="001F0E13">
        <w:t xml:space="preserve"> staff, the Delta Prote</w:t>
      </w:r>
      <w:r w:rsidR="006219E4">
        <w:t>ction Commission must ensure those</w:t>
      </w:r>
      <w:r w:rsidR="001F0E13">
        <w:t xml:space="preserve"> staff assigned to the NHA </w:t>
      </w:r>
      <w:r w:rsidR="006219E4">
        <w:t xml:space="preserve">are capable and able </w:t>
      </w:r>
      <w:r w:rsidR="00A0422E">
        <w:t>to manage the NHA effectively</w:t>
      </w:r>
      <w:r w:rsidR="006219E4">
        <w:t>.</w:t>
      </w:r>
    </w:p>
    <w:p w14:paraId="7BE7C105" w14:textId="77777777" w:rsidR="00E115B3" w:rsidRDefault="00E115B3" w:rsidP="00E61F4E">
      <w:pPr>
        <w:pStyle w:val="Heading3"/>
      </w:pPr>
      <w:r>
        <w:t>Mitigating Potential Disadvantages</w:t>
      </w:r>
    </w:p>
    <w:p w14:paraId="76B26458" w14:textId="46363B65" w:rsidR="00AC152E" w:rsidRDefault="00895EAB" w:rsidP="00E61F4E">
      <w:r>
        <w:t xml:space="preserve">To mitigate these disadvantages, it </w:t>
      </w:r>
      <w:r w:rsidR="0019474D">
        <w:t xml:space="preserve">is important for the Delta Protection Commission </w:t>
      </w:r>
      <w:r>
        <w:t xml:space="preserve">to </w:t>
      </w:r>
      <w:r w:rsidR="0019474D">
        <w:t xml:space="preserve">continue to </w:t>
      </w:r>
      <w:r>
        <w:t>work closely with local stakeholders, engage in transparent decision-making processes, seek public input, and adapt</w:t>
      </w:r>
      <w:r w:rsidR="00F60B6F">
        <w:t xml:space="preserve"> </w:t>
      </w:r>
      <w:r>
        <w:t>to the specific needs and</w:t>
      </w:r>
      <w:r w:rsidR="0019474D">
        <w:t xml:space="preserve"> challenges of the Sacramento-San Joaquin Delta </w:t>
      </w:r>
      <w:r w:rsidR="00756BD7">
        <w:t>NHA</w:t>
      </w:r>
      <w:r w:rsidR="0019474D">
        <w:t>. The established c</w:t>
      </w:r>
      <w:r>
        <w:t>ollaborativ</w:t>
      </w:r>
      <w:r w:rsidR="0019474D">
        <w:t>e effort and partnership between</w:t>
      </w:r>
      <w:r w:rsidR="003A3725">
        <w:t xml:space="preserve"> the</w:t>
      </w:r>
      <w:r w:rsidR="0019474D">
        <w:t xml:space="preserve"> DPC</w:t>
      </w:r>
      <w:r>
        <w:t xml:space="preserve">, </w:t>
      </w:r>
      <w:r w:rsidR="0019474D">
        <w:t xml:space="preserve">NPS, other state agencies, counties, </w:t>
      </w:r>
      <w:r>
        <w:t xml:space="preserve">local communities, </w:t>
      </w:r>
      <w:r w:rsidR="0019474D">
        <w:t xml:space="preserve">stakeholders, partners, </w:t>
      </w:r>
      <w:r w:rsidR="00EB1B27">
        <w:t xml:space="preserve">businesses, </w:t>
      </w:r>
      <w:r>
        <w:t xml:space="preserve">and nonprofit organizations </w:t>
      </w:r>
      <w:r w:rsidR="0019474D">
        <w:t xml:space="preserve">have already produced a strong foundation of </w:t>
      </w:r>
      <w:r w:rsidR="00EB1B27">
        <w:t>trust, c</w:t>
      </w:r>
      <w:r w:rsidR="0019474D">
        <w:t xml:space="preserve">ooperation, partnership, and </w:t>
      </w:r>
      <w:r w:rsidR="0052793A">
        <w:t>cross-organizational support</w:t>
      </w:r>
      <w:r w:rsidR="0019474D">
        <w:t xml:space="preserve">. </w:t>
      </w:r>
      <w:r w:rsidR="00756BD7">
        <w:t xml:space="preserve">The </w:t>
      </w:r>
      <w:r w:rsidR="0019474D">
        <w:t xml:space="preserve">DPC can continue to foster </w:t>
      </w:r>
      <w:r w:rsidR="00507030">
        <w:t xml:space="preserve">and grow </w:t>
      </w:r>
      <w:r w:rsidR="0019474D">
        <w:t>this relationship by advancing the</w:t>
      </w:r>
      <w:r w:rsidR="00756BD7">
        <w:t xml:space="preserve"> </w:t>
      </w:r>
      <w:r w:rsidR="0019474D">
        <w:t>reco</w:t>
      </w:r>
      <w:r w:rsidR="00EB1B27">
        <w:t xml:space="preserve">mmendations within this </w:t>
      </w:r>
      <w:r w:rsidR="00756BD7">
        <w:t xml:space="preserve">chapter, </w:t>
      </w:r>
      <w:r w:rsidR="00EB1B27">
        <w:t xml:space="preserve">thereby </w:t>
      </w:r>
      <w:r w:rsidR="0019474D">
        <w:t>e</w:t>
      </w:r>
      <w:r w:rsidR="00EB1B27">
        <w:t>nsuring</w:t>
      </w:r>
      <w:r>
        <w:t xml:space="preserve"> the effective manag</w:t>
      </w:r>
      <w:r w:rsidR="0019474D">
        <w:t xml:space="preserve">ement </w:t>
      </w:r>
      <w:r w:rsidR="00507030">
        <w:t xml:space="preserve">and success </w:t>
      </w:r>
      <w:r w:rsidR="0019474D">
        <w:t>of the Sacramento-San Joaquin Delta National Heritage Area</w:t>
      </w:r>
      <w:r>
        <w:t>.</w:t>
      </w:r>
    </w:p>
    <w:p w14:paraId="771FB53E" w14:textId="7D46FF48" w:rsidR="00AC152E" w:rsidRPr="002A0E3A" w:rsidRDefault="00AC152E" w:rsidP="00E61F4E">
      <w:pPr>
        <w:pStyle w:val="Heading1"/>
      </w:pPr>
      <w:r w:rsidRPr="002A0E3A">
        <w:lastRenderedPageBreak/>
        <w:t>The Mission and Vision of the Sacramento-San Joaquin Delta National Heritage Area</w:t>
      </w:r>
    </w:p>
    <w:p w14:paraId="7223DBA7" w14:textId="64380406" w:rsidR="00BD0796" w:rsidRDefault="00CB1614" w:rsidP="00E61F4E">
      <w:r>
        <w:t>As introduced in Chapter 1, the m</w:t>
      </w:r>
      <w:r w:rsidR="00BD0796">
        <w:t xml:space="preserve">ission and vision statements </w:t>
      </w:r>
      <w:r w:rsidR="00756BD7">
        <w:t xml:space="preserve">work in concert with one another to serve </w:t>
      </w:r>
      <w:r w:rsidR="00BD0796">
        <w:t xml:space="preserve">as the compass that steers the long-term trajectory and objectives guiding the daily functions of a </w:t>
      </w:r>
      <w:r w:rsidR="00756BD7">
        <w:t xml:space="preserve">National Heritage </w:t>
      </w:r>
      <w:r w:rsidR="003D5DAE">
        <w:t>Area</w:t>
      </w:r>
      <w:r w:rsidR="00BD0796">
        <w:t xml:space="preserve">. These statements </w:t>
      </w:r>
      <w:r>
        <w:t xml:space="preserve">are two of the foundational </w:t>
      </w:r>
      <w:r w:rsidR="00AA0337">
        <w:t>elements</w:t>
      </w:r>
      <w:r w:rsidR="00BD0796">
        <w:t xml:space="preserve"> upon which the NHA's programs, services, communications, organizational structure, and culture are built. Both mission and vision statements are indispensable for </w:t>
      </w:r>
      <w:r w:rsidR="00756BD7">
        <w:t xml:space="preserve">National Heritage Areas </w:t>
      </w:r>
      <w:r w:rsidR="00BD0796">
        <w:t>and their coordinating entities and collaborators.</w:t>
      </w:r>
    </w:p>
    <w:p w14:paraId="1C48B41A" w14:textId="4929F56D" w:rsidR="00BD0796" w:rsidRDefault="00ED6A43" w:rsidP="00E61F4E">
      <w:r>
        <w:t xml:space="preserve">The </w:t>
      </w:r>
      <w:r w:rsidR="00756BD7">
        <w:t>Organization</w:t>
      </w:r>
      <w:r w:rsidR="00756BD7" w:rsidRPr="00D72958">
        <w:t xml:space="preserve"> </w:t>
      </w:r>
      <w:r w:rsidR="00D72958" w:rsidRPr="00D72958">
        <w:t xml:space="preserve">Task Group of the Advisory Committee was </w:t>
      </w:r>
      <w:r w:rsidR="00756BD7">
        <w:t>charged</w:t>
      </w:r>
      <w:r w:rsidR="00756BD7" w:rsidRPr="00D72958">
        <w:t xml:space="preserve"> </w:t>
      </w:r>
      <w:r w:rsidR="00D72958" w:rsidRPr="00D72958">
        <w:t>with developing the mission and vision statement</w:t>
      </w:r>
      <w:r w:rsidR="003A3725">
        <w:t>s</w:t>
      </w:r>
      <w:r w:rsidR="00D72958" w:rsidRPr="00D72958">
        <w:t xml:space="preserve"> for th</w:t>
      </w:r>
      <w:r w:rsidR="00D72958">
        <w:t>e Sacrament</w:t>
      </w:r>
      <w:r w:rsidR="00D72958" w:rsidRPr="00D72958">
        <w:t xml:space="preserve">o-San Joaquin Delta </w:t>
      </w:r>
      <w:r w:rsidR="00756BD7">
        <w:t>NHA</w:t>
      </w:r>
      <w:r>
        <w:t xml:space="preserve">. The </w:t>
      </w:r>
      <w:r w:rsidR="00756BD7">
        <w:t>Organization</w:t>
      </w:r>
      <w:r w:rsidR="00756BD7" w:rsidRPr="00D72958">
        <w:t xml:space="preserve"> </w:t>
      </w:r>
      <w:r w:rsidR="00D72958" w:rsidRPr="00D72958">
        <w:t xml:space="preserve">Task Group worked over several meetings to develop each statement separately, maintaining the individuality </w:t>
      </w:r>
      <w:r w:rsidR="00756BD7">
        <w:t xml:space="preserve">of each statement </w:t>
      </w:r>
      <w:r w:rsidR="00D72958" w:rsidRPr="00D72958">
        <w:t>while also forging a meaningful connection between the two.</w:t>
      </w:r>
    </w:p>
    <w:p w14:paraId="2BD58F90" w14:textId="34F0CC4B" w:rsidR="00ED6A43" w:rsidRPr="00127A7A" w:rsidRDefault="00ED6A43" w:rsidP="00E61F4E">
      <w:pPr>
        <w:pStyle w:val="Heading2"/>
        <w:rPr>
          <w:rFonts w:eastAsia="Futura Bk BT"/>
          <w:szCs w:val="20"/>
        </w:rPr>
      </w:pPr>
      <w:r w:rsidRPr="00127A7A">
        <w:t>The Miss</w:t>
      </w:r>
      <w:r w:rsidR="00897A35">
        <w:t>i</w:t>
      </w:r>
      <w:r w:rsidRPr="00127A7A">
        <w:t>on</w:t>
      </w:r>
      <w:r w:rsidR="000462E9">
        <w:t xml:space="preserve"> of the Sacramento-San Joaquin Delta National Heritage Area</w:t>
      </w:r>
    </w:p>
    <w:p w14:paraId="545F589C" w14:textId="497F2F25" w:rsidR="003A3725" w:rsidRDefault="003A3725" w:rsidP="00E61F4E">
      <w:r w:rsidRPr="00D72958">
        <w:t xml:space="preserve">A mission statement acts as a litmus test to ensure the organization stays on course and provides guidance in times when it must adapt to evolving demands. An effective mission statement is succinct, pragmatic, actionable, inspiring, motivating, informative, and sometimes even evokes emotional resonance. </w:t>
      </w:r>
      <w:r w:rsidR="00760D84">
        <w:t xml:space="preserve">The statement </w:t>
      </w:r>
      <w:r w:rsidRPr="00D72958">
        <w:t>avoids excessive abstraction and instead reflects the organization's values while articulating its purpose with clarity.</w:t>
      </w:r>
    </w:p>
    <w:p w14:paraId="27CE751D" w14:textId="53C43A2D" w:rsidR="00BF6C06" w:rsidRDefault="00BF6C06" w:rsidP="00E61F4E">
      <w:r>
        <w:t xml:space="preserve">The original mission statement </w:t>
      </w:r>
      <w:r w:rsidR="00127A7A">
        <w:t>contained in the feasibility study w</w:t>
      </w:r>
      <w:r>
        <w:t xml:space="preserve">as considered by the </w:t>
      </w:r>
      <w:r w:rsidR="00756BD7">
        <w:t xml:space="preserve">Organization </w:t>
      </w:r>
      <w:r>
        <w:t>Task Group</w:t>
      </w:r>
      <w:r w:rsidR="00127A7A">
        <w:t xml:space="preserve"> and determined to be adequate, but the </w:t>
      </w:r>
      <w:r w:rsidR="00756BD7">
        <w:t>t</w:t>
      </w:r>
      <w:r w:rsidR="00127A7A">
        <w:t xml:space="preserve">ask </w:t>
      </w:r>
      <w:r w:rsidR="00756BD7">
        <w:t>g</w:t>
      </w:r>
      <w:r w:rsidR="00127A7A">
        <w:t xml:space="preserve">roup </w:t>
      </w:r>
      <w:r w:rsidR="00F60B6F">
        <w:t>desired</w:t>
      </w:r>
      <w:r w:rsidR="00127A7A">
        <w:t xml:space="preserve"> a new statement reflecting the purpose of the National Heritage Area now designated by the U.S. Congress.</w:t>
      </w:r>
    </w:p>
    <w:p w14:paraId="3AE814A4" w14:textId="57D446C4" w:rsidR="00127A7A" w:rsidRDefault="00127A7A" w:rsidP="00E61F4E">
      <w:r>
        <w:t xml:space="preserve">The </w:t>
      </w:r>
      <w:r w:rsidR="00756BD7">
        <w:t xml:space="preserve">Organization </w:t>
      </w:r>
      <w:r>
        <w:t>Task Group's strategy was to carry out three crucial goals for the mission statement. The goals were to:</w:t>
      </w:r>
    </w:p>
    <w:p w14:paraId="746CA487" w14:textId="4D0D86AA" w:rsidR="00127A7A" w:rsidRDefault="00127A7A" w:rsidP="00E61F4E">
      <w:pPr>
        <w:pStyle w:val="ListNumber2"/>
      </w:pPr>
      <w:r>
        <w:t xml:space="preserve">Offer direction for the Sacramento-San Joaquin Delta NHA's day-to-day </w:t>
      </w:r>
      <w:proofErr w:type="gramStart"/>
      <w:r>
        <w:t>activities;</w:t>
      </w:r>
      <w:proofErr w:type="gramEnd"/>
    </w:p>
    <w:p w14:paraId="06F0BDCA" w14:textId="5C9E8EA4" w:rsidR="00127A7A" w:rsidRDefault="00127A7A" w:rsidP="00E61F4E">
      <w:pPr>
        <w:pStyle w:val="ListNumber2"/>
      </w:pPr>
      <w:r>
        <w:t>Delineate the purpose of the NHA; and,</w:t>
      </w:r>
    </w:p>
    <w:p w14:paraId="5CADB3D7" w14:textId="15F526C0" w:rsidR="00127A7A" w:rsidRDefault="00127A7A" w:rsidP="00E61F4E">
      <w:pPr>
        <w:pStyle w:val="ListNumber2"/>
      </w:pPr>
      <w:r>
        <w:t xml:space="preserve">Establish a </w:t>
      </w:r>
      <w:r w:rsidR="0062503D">
        <w:t>reference</w:t>
      </w:r>
      <w:r>
        <w:t xml:space="preserve"> for evaluating its achievements and initiatives. </w:t>
      </w:r>
    </w:p>
    <w:p w14:paraId="0FF7ACE0" w14:textId="3C9108B8" w:rsidR="00D72958" w:rsidRDefault="00D72958" w:rsidP="00E61F4E">
      <w:r>
        <w:t xml:space="preserve">The </w:t>
      </w:r>
      <w:r w:rsidR="008001FA">
        <w:t>m</w:t>
      </w:r>
      <w:r>
        <w:t xml:space="preserve">ission </w:t>
      </w:r>
      <w:r w:rsidR="008001FA">
        <w:t>s</w:t>
      </w:r>
      <w:r>
        <w:t xml:space="preserve">tatement for the Sacramento-San Joaquin Delta National </w:t>
      </w:r>
      <w:r w:rsidR="00BF6C06">
        <w:t>Heritage</w:t>
      </w:r>
      <w:r>
        <w:t xml:space="preserve"> Area, drafted by the </w:t>
      </w:r>
      <w:r w:rsidR="00756BD7">
        <w:t xml:space="preserve">Organization </w:t>
      </w:r>
      <w:r>
        <w:t>Task Group and a</w:t>
      </w:r>
      <w:r w:rsidR="00E06648">
        <w:t xml:space="preserve">dopted </w:t>
      </w:r>
      <w:r>
        <w:t>by the Advisory Committee, is as follows:</w:t>
      </w:r>
    </w:p>
    <w:p w14:paraId="2DB22B8C" w14:textId="1B6A83A7" w:rsidR="00D72958" w:rsidRDefault="00D72958" w:rsidP="00E61F4E">
      <w:r w:rsidRPr="00D72958">
        <w:t>The Sacramento-San Joaquin Delta National Heritage Area is a partnership coalition working together to recognize, enhance, and promote the National Heritage Area as an ecological, agricultural, recreational, historical, and cultural treasure.</w:t>
      </w:r>
    </w:p>
    <w:p w14:paraId="572F5A57" w14:textId="769A3177" w:rsidR="00ED6A43" w:rsidRPr="00127A7A" w:rsidRDefault="00ED6A43" w:rsidP="00E61F4E">
      <w:pPr>
        <w:pStyle w:val="Heading2"/>
        <w:rPr>
          <w:rFonts w:eastAsia="Futura Bk BT"/>
          <w:szCs w:val="20"/>
        </w:rPr>
      </w:pPr>
      <w:r w:rsidRPr="00127A7A">
        <w:lastRenderedPageBreak/>
        <w:t xml:space="preserve">The </w:t>
      </w:r>
      <w:r>
        <w:t>Visi</w:t>
      </w:r>
      <w:r w:rsidRPr="00127A7A">
        <w:t>on</w:t>
      </w:r>
      <w:r w:rsidR="000462E9">
        <w:t xml:space="preserve"> for the Sacramento-San Joaquin Delta National Heritage Area</w:t>
      </w:r>
    </w:p>
    <w:p w14:paraId="72E6FD28" w14:textId="15E0FAEF" w:rsidR="00ED6A43" w:rsidRDefault="00ED6A43" w:rsidP="00E61F4E">
      <w:r>
        <w:t xml:space="preserve">The </w:t>
      </w:r>
      <w:r w:rsidR="00A736FC">
        <w:t>Organization</w:t>
      </w:r>
      <w:r>
        <w:t xml:space="preserve"> Task Group expressed a desire for a vision statement that would spotlight the enduring impact of the Sacramento-San Joaquin Delta NHA and what the Delta Protection Commission and its stakeholders and partners aspire to achieve for the region. As with the crafting of the mission statement, the </w:t>
      </w:r>
      <w:r w:rsidR="00773526">
        <w:t xml:space="preserve">Organization </w:t>
      </w:r>
      <w:r>
        <w:t xml:space="preserve">Task Group believed that a vision statement should inspire </w:t>
      </w:r>
      <w:r w:rsidR="00E06648">
        <w:t xml:space="preserve">and </w:t>
      </w:r>
      <w:r w:rsidR="00CC318A">
        <w:t>spur</w:t>
      </w:r>
      <w:r>
        <w:t xml:space="preserve"> action in areas like strategic planning, program and project implementation, fundraising, marketing, governance, cooperation, partnership, and overall management. The </w:t>
      </w:r>
      <w:r w:rsidR="00773526">
        <w:t xml:space="preserve">Organization </w:t>
      </w:r>
      <w:r>
        <w:t>Task Group held several discussion</w:t>
      </w:r>
      <w:r w:rsidR="00773526">
        <w:t>s</w:t>
      </w:r>
      <w:r>
        <w:t xml:space="preserve"> and ultimately developed a statement to serve as a catalyst for setting objectives and propelling the Sacramento-San Joaquin Delta </w:t>
      </w:r>
      <w:r w:rsidR="00773526">
        <w:t>NHA</w:t>
      </w:r>
      <w:r>
        <w:t xml:space="preserve"> toward</w:t>
      </w:r>
      <w:r w:rsidR="00CC318A">
        <w:t xml:space="preserve"> the </w:t>
      </w:r>
      <w:r>
        <w:t>successful implementation of the recommendations contained within this management plan.</w:t>
      </w:r>
    </w:p>
    <w:p w14:paraId="61790825" w14:textId="6032F764" w:rsidR="00ED6A43" w:rsidRDefault="00ED6A43" w:rsidP="00E61F4E">
      <w:r>
        <w:t xml:space="preserve">The </w:t>
      </w:r>
      <w:r w:rsidR="00236222">
        <w:t>v</w:t>
      </w:r>
      <w:r>
        <w:t xml:space="preserve">ision </w:t>
      </w:r>
      <w:r w:rsidR="00236222">
        <w:t>s</w:t>
      </w:r>
      <w:r>
        <w:t xml:space="preserve">tatement developed by the </w:t>
      </w:r>
      <w:r w:rsidR="00773526">
        <w:t xml:space="preserve">Organization </w:t>
      </w:r>
      <w:r>
        <w:t>Task Group and adopted by the Advisory Committee is:</w:t>
      </w:r>
    </w:p>
    <w:p w14:paraId="23C6FD63" w14:textId="075244BF" w:rsidR="009369C1" w:rsidRPr="002A0E3A" w:rsidRDefault="00ED6A43" w:rsidP="00E61F4E">
      <w:r w:rsidRPr="00ED6A43">
        <w:t xml:space="preserve">The Sacramento-San Joaquin Delta National Heritage Area supports living links among the past, present, and future and among farmed, developed, and wild lands in the Delta, Suisun Marsh, and the </w:t>
      </w:r>
      <w:proofErr w:type="spellStart"/>
      <w:r w:rsidRPr="00ED6A43">
        <w:t>Carquinez</w:t>
      </w:r>
      <w:proofErr w:type="spellEnd"/>
      <w:r w:rsidRPr="00ED6A43">
        <w:t xml:space="preserve"> Strait. This globally significant estuary sustains a remarkable and diverse blend of natural and human communities that have emerged over millennia. Through partnerships, </w:t>
      </w:r>
      <w:r w:rsidR="005577EA">
        <w:t xml:space="preserve">the </w:t>
      </w:r>
      <w:r w:rsidRPr="00ED6A43">
        <w:t>S</w:t>
      </w:r>
      <w:r w:rsidR="00F60B6F">
        <w:t xml:space="preserve">acramento </w:t>
      </w:r>
      <w:r w:rsidRPr="00ED6A43">
        <w:t>S</w:t>
      </w:r>
      <w:r w:rsidR="00F60B6F">
        <w:t xml:space="preserve">an </w:t>
      </w:r>
      <w:r w:rsidRPr="00ED6A43">
        <w:t>J</w:t>
      </w:r>
      <w:r w:rsidR="00F60B6F">
        <w:t xml:space="preserve">oaquin </w:t>
      </w:r>
      <w:r w:rsidRPr="00ED6A43">
        <w:t>D</w:t>
      </w:r>
      <w:r w:rsidR="00F60B6F">
        <w:t xml:space="preserve">elta </w:t>
      </w:r>
      <w:r w:rsidRPr="00ED6A43">
        <w:t>NHA affirms and protects this living landscape – the appreciation of Delta cultures, relationships with water and landscapes, rewards of labor and commerce, and the revitalizing benefits of recreation – and shares it with Californians and visitors from around the world.</w:t>
      </w:r>
    </w:p>
    <w:p w14:paraId="3A81E0E6" w14:textId="2EDFB22D" w:rsidR="009369C1" w:rsidRPr="002A0E3A" w:rsidRDefault="00B32CEF" w:rsidP="00E61F4E">
      <w:pPr>
        <w:pStyle w:val="Heading1"/>
      </w:pPr>
      <w:r w:rsidRPr="002A0E3A">
        <w:t>Management and Governance Structure of the Sacramento-San Joaquin Delta National Heritage Area</w:t>
      </w:r>
    </w:p>
    <w:p w14:paraId="735D06C5" w14:textId="77777777" w:rsidR="003548A9" w:rsidRDefault="0017127C" w:rsidP="00E61F4E">
      <w:r w:rsidRPr="0017127C">
        <w:t>As sti</w:t>
      </w:r>
      <w:r w:rsidR="00B32CEF">
        <w:t xml:space="preserve">pulated by the United States Congress under Public Law 116-9, </w:t>
      </w:r>
      <w:r w:rsidRPr="0017127C">
        <w:t>the D</w:t>
      </w:r>
      <w:r w:rsidR="00B32CEF">
        <w:t>elta Protection Commission</w:t>
      </w:r>
      <w:r w:rsidRPr="0017127C">
        <w:t xml:space="preserve"> holds the official role of the coordinating entity for the Sacramento-San Joaquin Delta National Heritage Area. According to legislative mandates,</w:t>
      </w:r>
      <w:r w:rsidR="00B32CEF">
        <w:t xml:space="preserve"> the DPC is provided </w:t>
      </w:r>
      <w:r w:rsidR="003548A9">
        <w:t xml:space="preserve">with </w:t>
      </w:r>
      <w:r w:rsidR="00B32CEF">
        <w:t xml:space="preserve">specific </w:t>
      </w:r>
      <w:r w:rsidR="003548A9">
        <w:t>authorities</w:t>
      </w:r>
      <w:r w:rsidR="00B32CEF">
        <w:t xml:space="preserve"> and duties and may use the fundin</w:t>
      </w:r>
      <w:r w:rsidR="003548A9">
        <w:t xml:space="preserve">g appropriated by Congress. </w:t>
      </w:r>
    </w:p>
    <w:p w14:paraId="1461D42F" w14:textId="7133352C" w:rsidR="003548A9" w:rsidRDefault="00BC4A78" w:rsidP="00E61F4E">
      <w:r>
        <w:t>The a</w:t>
      </w:r>
      <w:r w:rsidR="003548A9">
        <w:t>uthorities</w:t>
      </w:r>
      <w:r>
        <w:t xml:space="preserve"> convey</w:t>
      </w:r>
      <w:r w:rsidR="006159E2">
        <w:t>ed in the designating legislation</w:t>
      </w:r>
      <w:r w:rsidR="003548A9">
        <w:t xml:space="preserve"> include:</w:t>
      </w:r>
    </w:p>
    <w:p w14:paraId="5CCB1A62" w14:textId="1C352229" w:rsidR="00704C5B" w:rsidRDefault="00EB5F3C" w:rsidP="00E61F4E">
      <w:pPr>
        <w:pStyle w:val="ListBullet"/>
      </w:pPr>
      <w:r w:rsidRPr="00EB5F3C">
        <w:t>M</w:t>
      </w:r>
      <w:r w:rsidR="003548A9" w:rsidRPr="00EB5F3C">
        <w:t xml:space="preserve">aking grants to the State of California or a political subdivision of the state, Indian Tribes, nonprofit organizations, and other </w:t>
      </w:r>
      <w:proofErr w:type="gramStart"/>
      <w:r w:rsidR="003548A9" w:rsidRPr="00EB5F3C">
        <w:t>persons;</w:t>
      </w:r>
      <w:proofErr w:type="gramEnd"/>
      <w:r w:rsidR="003548A9" w:rsidRPr="00EB5F3C">
        <w:t xml:space="preserve"> </w:t>
      </w:r>
    </w:p>
    <w:p w14:paraId="4FA6164A" w14:textId="5EA65A93" w:rsidR="00704C5B" w:rsidRDefault="00EB5F3C" w:rsidP="00E61F4E">
      <w:pPr>
        <w:pStyle w:val="ListBullet"/>
      </w:pPr>
      <w:r w:rsidRPr="00EB5F3C">
        <w:lastRenderedPageBreak/>
        <w:t>E</w:t>
      </w:r>
      <w:r w:rsidR="003548A9" w:rsidRPr="00EB5F3C">
        <w:t xml:space="preserve">ntering into cooperative agreements with, or providing technical assistance to, the State or a political subdivision of the State, Indian Tribes, nonprofit organizations, and other interested </w:t>
      </w:r>
      <w:proofErr w:type="gramStart"/>
      <w:r w:rsidR="003548A9" w:rsidRPr="00EB5F3C">
        <w:t>parties;</w:t>
      </w:r>
      <w:proofErr w:type="gramEnd"/>
      <w:r w:rsidR="003548A9" w:rsidRPr="00EB5F3C">
        <w:t xml:space="preserve"> </w:t>
      </w:r>
    </w:p>
    <w:p w14:paraId="379E65DA" w14:textId="5FF648E6" w:rsidR="00704C5B" w:rsidRDefault="00EB5F3C" w:rsidP="00E61F4E">
      <w:pPr>
        <w:pStyle w:val="ListBullet"/>
      </w:pPr>
      <w:r w:rsidRPr="00EB5F3C">
        <w:t>H</w:t>
      </w:r>
      <w:r w:rsidR="003548A9" w:rsidRPr="00EB5F3C">
        <w:t xml:space="preserve">iring and compensating staff, which shall include individuals with expertise in natural, cultural, and historical resources protection and heritage </w:t>
      </w:r>
      <w:proofErr w:type="gramStart"/>
      <w:r w:rsidR="003548A9" w:rsidRPr="00EB5F3C">
        <w:t>programming;</w:t>
      </w:r>
      <w:proofErr w:type="gramEnd"/>
      <w:r w:rsidR="003548A9" w:rsidRPr="00EB5F3C">
        <w:t xml:space="preserve"> </w:t>
      </w:r>
    </w:p>
    <w:p w14:paraId="080155C3" w14:textId="1D7B2489" w:rsidR="00704C5B" w:rsidRDefault="00EB5F3C" w:rsidP="00E61F4E">
      <w:pPr>
        <w:pStyle w:val="ListBullet"/>
      </w:pPr>
      <w:r w:rsidRPr="00EB5F3C">
        <w:t>O</w:t>
      </w:r>
      <w:r w:rsidR="003548A9" w:rsidRPr="00EB5F3C">
        <w:t>btaining money or services from any source</w:t>
      </w:r>
      <w:r w:rsidRPr="00EB5F3C">
        <w:t>,</w:t>
      </w:r>
      <w:r w:rsidR="003548A9" w:rsidRPr="00EB5F3C">
        <w:t xml:space="preserve"> including any money or services that are provided under any other Federal law or </w:t>
      </w:r>
      <w:proofErr w:type="gramStart"/>
      <w:r w:rsidR="003548A9" w:rsidRPr="00EB5F3C">
        <w:t>program;</w:t>
      </w:r>
      <w:proofErr w:type="gramEnd"/>
      <w:r w:rsidR="003548A9" w:rsidRPr="00EB5F3C">
        <w:t xml:space="preserve"> </w:t>
      </w:r>
    </w:p>
    <w:p w14:paraId="740B40BD" w14:textId="3DBEED2D" w:rsidR="00704C5B" w:rsidRDefault="00EB5F3C" w:rsidP="00E61F4E">
      <w:pPr>
        <w:pStyle w:val="ListBullet"/>
      </w:pPr>
      <w:r w:rsidRPr="00EB5F3C">
        <w:t>C</w:t>
      </w:r>
      <w:r w:rsidR="003548A9" w:rsidRPr="00EB5F3C">
        <w:t>ontracting for goods or services; and,</w:t>
      </w:r>
    </w:p>
    <w:p w14:paraId="0CB80955" w14:textId="3625009C" w:rsidR="003548A9" w:rsidRDefault="00EB5F3C" w:rsidP="00E61F4E">
      <w:pPr>
        <w:pStyle w:val="ListBullet"/>
      </w:pPr>
      <w:r w:rsidRPr="00EB5F3C">
        <w:t>B</w:t>
      </w:r>
      <w:r w:rsidR="003548A9" w:rsidRPr="00EB5F3C">
        <w:t>ecoming a catalyst for any other activity that furthers the National Heritage Area and is consistent with the approved management plan.</w:t>
      </w:r>
    </w:p>
    <w:p w14:paraId="5DBBCE57" w14:textId="6DB1668F" w:rsidR="00BF08EC" w:rsidRDefault="00BF08EC" w:rsidP="00E61F4E">
      <w:pPr>
        <w:pStyle w:val="ListBullet"/>
      </w:pPr>
    </w:p>
    <w:p w14:paraId="49B85FC1" w14:textId="763C0CCC" w:rsidR="00BF08EC" w:rsidRPr="00EB5F3C" w:rsidRDefault="00BF08EC" w:rsidP="00E61F4E">
      <w:pPr>
        <w:pStyle w:val="ListBullet"/>
      </w:pPr>
      <w:r>
        <w:t xml:space="preserve">These authorities, when married to California state law, </w:t>
      </w:r>
      <w:r w:rsidR="005F4E7F">
        <w:t>position</w:t>
      </w:r>
      <w:r>
        <w:t xml:space="preserve"> the DPC with significant authority as the primary partner to implement recommendations from other state plans that will assist and advance heritage development opportunities in the NHA.</w:t>
      </w:r>
    </w:p>
    <w:p w14:paraId="236EC0F3" w14:textId="6D769DC3" w:rsidR="00B32CEF" w:rsidRPr="00B201CB" w:rsidRDefault="00B201CB" w:rsidP="00E61F4E">
      <w:r>
        <w:t xml:space="preserve">In addition, the </w:t>
      </w:r>
      <w:r w:rsidR="004F2F2B">
        <w:t xml:space="preserve">legislation provides specific duties to the </w:t>
      </w:r>
      <w:r>
        <w:t>Delta</w:t>
      </w:r>
      <w:r w:rsidR="004F2F2B">
        <w:t xml:space="preserve"> Protection Commission</w:t>
      </w:r>
      <w:r>
        <w:t xml:space="preserve"> </w:t>
      </w:r>
      <w:r w:rsidR="00B32CEF">
        <w:t xml:space="preserve">"to </w:t>
      </w:r>
      <w:r w:rsidR="00B32CEF" w:rsidRPr="00B32CEF">
        <w:t>assist Federal agencies, the State or a political subdivision of the State, Indian Tribes, regional planning organizations, nonprofit organizations</w:t>
      </w:r>
      <w:r w:rsidR="00100ABE">
        <w:t>,</w:t>
      </w:r>
      <w:r w:rsidR="00B32CEF" w:rsidRPr="00B32CEF">
        <w:t xml:space="preserve"> and other interested parties in carrying out the approved management plan</w:t>
      </w:r>
      <w:r>
        <w:t>." These duties include:</w:t>
      </w:r>
    </w:p>
    <w:p w14:paraId="5CC711B9" w14:textId="40DA2B8E" w:rsidR="00704C5B" w:rsidRPr="006376F7" w:rsidRDefault="004F2F2B" w:rsidP="00E61F4E">
      <w:pPr>
        <w:pStyle w:val="ListBullet"/>
      </w:pPr>
      <w:r w:rsidRPr="006376F7">
        <w:t>C</w:t>
      </w:r>
      <w:r w:rsidR="008A6CCE" w:rsidRPr="006376F7">
        <w:t xml:space="preserve">arrying out programs and projects that recognize, protect, and enhance important resource values in the National Heritage </w:t>
      </w:r>
      <w:proofErr w:type="gramStart"/>
      <w:r w:rsidR="008A6CCE" w:rsidRPr="006376F7">
        <w:t>Area;</w:t>
      </w:r>
      <w:proofErr w:type="gramEnd"/>
    </w:p>
    <w:p w14:paraId="7A4B39E9" w14:textId="0013EB97" w:rsidR="00704C5B" w:rsidRPr="006376F7" w:rsidRDefault="004F2F2B" w:rsidP="00E61F4E">
      <w:pPr>
        <w:pStyle w:val="ListBullet"/>
      </w:pPr>
      <w:r w:rsidRPr="006376F7">
        <w:t>E</w:t>
      </w:r>
      <w:r w:rsidR="008A6CCE" w:rsidRPr="006376F7">
        <w:t xml:space="preserve">stablishing and maintaining interpretive exhibits and programs in the National Heritage </w:t>
      </w:r>
      <w:proofErr w:type="gramStart"/>
      <w:r w:rsidR="008A6CCE" w:rsidRPr="006376F7">
        <w:t>Area;</w:t>
      </w:r>
      <w:proofErr w:type="gramEnd"/>
      <w:r w:rsidR="008A6CCE" w:rsidRPr="006376F7">
        <w:t xml:space="preserve"> </w:t>
      </w:r>
    </w:p>
    <w:p w14:paraId="071EC805" w14:textId="1A65CAFB" w:rsidR="00704C5B" w:rsidRPr="006376F7" w:rsidRDefault="004F2F2B" w:rsidP="00E61F4E">
      <w:pPr>
        <w:pStyle w:val="ListBullet"/>
      </w:pPr>
      <w:r w:rsidRPr="006376F7">
        <w:t>D</w:t>
      </w:r>
      <w:r w:rsidR="008A6CCE" w:rsidRPr="006376F7">
        <w:t xml:space="preserve">eveloping recreational and educational opportunities in the National Heritage </w:t>
      </w:r>
      <w:proofErr w:type="gramStart"/>
      <w:r w:rsidR="008A6CCE" w:rsidRPr="006376F7">
        <w:t>Area;</w:t>
      </w:r>
      <w:proofErr w:type="gramEnd"/>
      <w:r w:rsidR="008A6CCE" w:rsidRPr="006376F7">
        <w:t xml:space="preserve"> </w:t>
      </w:r>
    </w:p>
    <w:p w14:paraId="7D0AB0D7" w14:textId="600C6B2B" w:rsidR="00704C5B" w:rsidRPr="006376F7" w:rsidRDefault="004F2F2B" w:rsidP="00E61F4E">
      <w:pPr>
        <w:pStyle w:val="ListBullet"/>
      </w:pPr>
      <w:r w:rsidRPr="006376F7">
        <w:t>I</w:t>
      </w:r>
      <w:r w:rsidR="008A6CCE" w:rsidRPr="006376F7">
        <w:t xml:space="preserve">ncreasing public awareness of, and appreciation for, natural, historical, scenic, and cultural resources of the National Heritage </w:t>
      </w:r>
      <w:proofErr w:type="gramStart"/>
      <w:r w:rsidR="008A6CCE" w:rsidRPr="006376F7">
        <w:t>Area;</w:t>
      </w:r>
      <w:proofErr w:type="gramEnd"/>
      <w:r w:rsidR="008A6CCE" w:rsidRPr="006376F7">
        <w:t xml:space="preserve"> </w:t>
      </w:r>
    </w:p>
    <w:p w14:paraId="5C63A242" w14:textId="54E92036" w:rsidR="00704C5B" w:rsidRPr="006376F7" w:rsidRDefault="004F2F2B" w:rsidP="00E61F4E">
      <w:pPr>
        <w:pStyle w:val="ListBullet"/>
      </w:pPr>
      <w:r w:rsidRPr="006376F7">
        <w:t>P</w:t>
      </w:r>
      <w:r w:rsidR="008A6CCE" w:rsidRPr="006376F7">
        <w:t xml:space="preserve">rotecting and restoring historic sites and buildings in the National Heritage Area that are consistent with National Heritage Area </w:t>
      </w:r>
      <w:proofErr w:type="gramStart"/>
      <w:r w:rsidR="008A6CCE" w:rsidRPr="006376F7">
        <w:t>themes;</w:t>
      </w:r>
      <w:proofErr w:type="gramEnd"/>
      <w:r w:rsidR="008A6CCE" w:rsidRPr="006376F7">
        <w:t xml:space="preserve"> </w:t>
      </w:r>
    </w:p>
    <w:p w14:paraId="536D42F5" w14:textId="00377E00" w:rsidR="00704C5B" w:rsidRPr="006376F7" w:rsidRDefault="004F2F2B" w:rsidP="00E61F4E">
      <w:pPr>
        <w:pStyle w:val="ListBullet"/>
      </w:pPr>
      <w:r w:rsidRPr="006376F7">
        <w:t>E</w:t>
      </w:r>
      <w:r w:rsidR="008A6CCE" w:rsidRPr="006376F7">
        <w:t xml:space="preserve">nsuring that clear, consistent, and appropriate signs identifying points of public access and sites of interest are posted throughout </w:t>
      </w:r>
      <w:r w:rsidR="00704C5B" w:rsidRPr="006376F7">
        <w:t>the National Heritage Area; and,</w:t>
      </w:r>
    </w:p>
    <w:p w14:paraId="49E1D5DF" w14:textId="20C9548B" w:rsidR="00704C5B" w:rsidRPr="006376F7" w:rsidRDefault="004F2F2B" w:rsidP="00E61F4E">
      <w:pPr>
        <w:pStyle w:val="ListBullet"/>
      </w:pPr>
      <w:r w:rsidRPr="006376F7">
        <w:t>P</w:t>
      </w:r>
      <w:r w:rsidR="008A6CCE" w:rsidRPr="006376F7">
        <w:t xml:space="preserve">romoting a wide range of partnerships among the Federal Government, State, Tribal, and local governments, organizations, and individuals to further the National Heritage </w:t>
      </w:r>
      <w:proofErr w:type="gramStart"/>
      <w:r w:rsidR="008A6CCE" w:rsidRPr="006376F7">
        <w:t>Area;</w:t>
      </w:r>
      <w:proofErr w:type="gramEnd"/>
    </w:p>
    <w:p w14:paraId="23FF0637" w14:textId="6B888DB6" w:rsidR="00B201CB" w:rsidRPr="006376F7" w:rsidRDefault="004F2F2B" w:rsidP="00E61F4E">
      <w:pPr>
        <w:pStyle w:val="ListBullet"/>
      </w:pPr>
      <w:r w:rsidRPr="006376F7">
        <w:t>D</w:t>
      </w:r>
      <w:r w:rsidR="0017127C" w:rsidRPr="006376F7">
        <w:t xml:space="preserve">eveloping a comprehensive management strategy to guide the execution of the NHA's initiatives. </w:t>
      </w:r>
    </w:p>
    <w:p w14:paraId="6DBE7F25" w14:textId="20E37F86" w:rsidR="0017127C" w:rsidRPr="0017127C" w:rsidRDefault="0017127C" w:rsidP="00E61F4E">
      <w:r w:rsidRPr="0017127C">
        <w:t xml:space="preserve">Unlike most other NHAs, developing a successful management structure for </w:t>
      </w:r>
      <w:r w:rsidR="007D755A">
        <w:t xml:space="preserve">the </w:t>
      </w:r>
      <w:r w:rsidRPr="0017127C">
        <w:t>S</w:t>
      </w:r>
      <w:r w:rsidR="007D755A">
        <w:t>acramento-</w:t>
      </w:r>
      <w:r w:rsidRPr="0017127C">
        <w:t>S</w:t>
      </w:r>
      <w:r w:rsidR="007D755A">
        <w:t xml:space="preserve">an </w:t>
      </w:r>
      <w:r w:rsidRPr="0017127C">
        <w:t>J</w:t>
      </w:r>
      <w:r w:rsidR="007D755A">
        <w:t xml:space="preserve">oaquin </w:t>
      </w:r>
      <w:r w:rsidRPr="0017127C">
        <w:t>D</w:t>
      </w:r>
      <w:r w:rsidR="007D755A">
        <w:t xml:space="preserve">elta </w:t>
      </w:r>
      <w:r w:rsidRPr="0017127C">
        <w:t>NHA entails harmon</w:t>
      </w:r>
      <w:r w:rsidR="007D755A">
        <w:t xml:space="preserve">izing the laws and regulatory </w:t>
      </w:r>
      <w:r w:rsidR="007D755A">
        <w:lastRenderedPageBreak/>
        <w:t>requirements</w:t>
      </w:r>
      <w:r w:rsidRPr="0017127C">
        <w:t xml:space="preserve"> set forth by</w:t>
      </w:r>
      <w:r w:rsidR="000C108D">
        <w:t xml:space="preserve"> the State of California for</w:t>
      </w:r>
      <w:r w:rsidRPr="0017127C">
        <w:t xml:space="preserve"> the Delta Protection Commiss</w:t>
      </w:r>
      <w:r w:rsidR="000C108D">
        <w:t xml:space="preserve">ion </w:t>
      </w:r>
      <w:r w:rsidRPr="0017127C">
        <w:t>with the federal requirements</w:t>
      </w:r>
      <w:r w:rsidR="000C108D">
        <w:t xml:space="preserve"> contained within P. Law 116-</w:t>
      </w:r>
      <w:r w:rsidR="003A3725">
        <w:t>9.</w:t>
      </w:r>
    </w:p>
    <w:p w14:paraId="4020B264" w14:textId="7AE5D0DF" w:rsidR="0017127C" w:rsidRPr="0017127C" w:rsidRDefault="0017127C" w:rsidP="00E61F4E">
      <w:r w:rsidRPr="0017127C">
        <w:t xml:space="preserve">The following recommendations for </w:t>
      </w:r>
      <w:r w:rsidR="005F4E7F">
        <w:t xml:space="preserve">the </w:t>
      </w:r>
      <w:r w:rsidRPr="0017127C">
        <w:t>NHA organization</w:t>
      </w:r>
      <w:r w:rsidR="00D678D5">
        <w:t>al</w:t>
      </w:r>
      <w:r w:rsidRPr="0017127C">
        <w:t xml:space="preserve"> structure </w:t>
      </w:r>
      <w:r w:rsidR="000C108D">
        <w:t>aim</w:t>
      </w:r>
      <w:r w:rsidR="008F3BB0">
        <w:t xml:space="preserve"> to align</w:t>
      </w:r>
      <w:r w:rsidRPr="0017127C">
        <w:t xml:space="preserve"> </w:t>
      </w:r>
      <w:r w:rsidR="00D678D5">
        <w:t xml:space="preserve">the </w:t>
      </w:r>
      <w:r w:rsidRPr="0017127C">
        <w:t xml:space="preserve">DPC </w:t>
      </w:r>
      <w:r w:rsidR="008F3BB0">
        <w:t>with the enacting legislation while providing</w:t>
      </w:r>
      <w:r w:rsidRPr="0017127C">
        <w:t xml:space="preserve"> the Sacramento-San Joa</w:t>
      </w:r>
      <w:r w:rsidR="008F3BB0">
        <w:t xml:space="preserve">quin Delta NHA with </w:t>
      </w:r>
      <w:r w:rsidRPr="0017127C">
        <w:t>a versatile and adaptable operational framework that effectively accommodate</w:t>
      </w:r>
      <w:r w:rsidR="00F72B5E">
        <w:t>s</w:t>
      </w:r>
      <w:r w:rsidRPr="0017127C">
        <w:t xml:space="preserve"> the evolving requirements of the NHA.</w:t>
      </w:r>
    </w:p>
    <w:p w14:paraId="41687B39" w14:textId="77777777" w:rsidR="0017127C" w:rsidRPr="0017127C" w:rsidRDefault="0017127C" w:rsidP="00E61F4E">
      <w:pPr>
        <w:pStyle w:val="Heading2"/>
      </w:pPr>
      <w:r w:rsidRPr="0017127C">
        <w:t>Sacramento-San Joaquin Delta NHA Governance</w:t>
      </w:r>
    </w:p>
    <w:p w14:paraId="604C0BD4" w14:textId="12AE5404" w:rsidR="0017127C" w:rsidRPr="0017127C" w:rsidRDefault="0017127C" w:rsidP="00E61F4E">
      <w:pPr>
        <w:pStyle w:val="Heading3"/>
      </w:pPr>
      <w:r w:rsidRPr="0017127C">
        <w:t xml:space="preserve">Delta Protection </w:t>
      </w:r>
      <w:r w:rsidR="00C73EB2">
        <w:t>Commission – NHA Governing Body</w:t>
      </w:r>
    </w:p>
    <w:p w14:paraId="645EFB27" w14:textId="0A430CEF" w:rsidR="003F0A51" w:rsidRDefault="00F46201" w:rsidP="00E61F4E">
      <w:r w:rsidRPr="003A3725">
        <w:t xml:space="preserve">When it was established in 1992 by the California State Legislature, the Delta Protection Commission was charged with the responsibility of the </w:t>
      </w:r>
      <w:r w:rsidR="0017127C" w:rsidRPr="003A3725">
        <w:t xml:space="preserve">conservation of the Delta’s </w:t>
      </w:r>
      <w:r w:rsidR="003F0A51">
        <w:t xml:space="preserve">agricultural, </w:t>
      </w:r>
      <w:r w:rsidR="0017127C" w:rsidRPr="003A3725">
        <w:t>natural</w:t>
      </w:r>
      <w:r w:rsidR="003F0A51">
        <w:t>, and recreational</w:t>
      </w:r>
      <w:r w:rsidR="0017127C" w:rsidRPr="003A3725">
        <w:t xml:space="preserve"> resources</w:t>
      </w:r>
      <w:r w:rsidR="003F0A51">
        <w:t xml:space="preserve"> and infrastructure</w:t>
      </w:r>
      <w:r w:rsidR="0017127C" w:rsidRPr="003A3725">
        <w:t>.</w:t>
      </w:r>
      <w:r w:rsidR="003F0A51">
        <w:t xml:space="preserve"> </w:t>
      </w:r>
      <w:r w:rsidR="003F0A51" w:rsidRPr="003A3725">
        <w:t xml:space="preserve">The Delta Protection Commission is </w:t>
      </w:r>
      <w:r w:rsidR="003F0A51">
        <w:t xml:space="preserve">currently </w:t>
      </w:r>
      <w:r w:rsidR="003F0A51" w:rsidRPr="003A3725">
        <w:t xml:space="preserve">comprised of 15 members from the Delta region, including five county supervisors, three city council members, three reclamation district trustees, and four state agency representatives. </w:t>
      </w:r>
      <w:r w:rsidR="00124B3B">
        <w:t>In addition to DPC's work in agriculture, culture, economic development, land use, levees, recreation and tourism, and water, t</w:t>
      </w:r>
      <w:r w:rsidR="003F0A51" w:rsidRPr="003A3725">
        <w:t xml:space="preserve">he </w:t>
      </w:r>
      <w:r w:rsidR="00124B3B">
        <w:t>DPC also</w:t>
      </w:r>
      <w:r w:rsidR="003F0A51" w:rsidRPr="003A3725">
        <w:t xml:space="preserve"> advise</w:t>
      </w:r>
      <w:r w:rsidR="00124B3B">
        <w:t>s</w:t>
      </w:r>
      <w:r w:rsidR="003F0A51" w:rsidRPr="003A3725">
        <w:t xml:space="preserve"> the Delta Stewardship Council on protecting and enhancing the unique cultural, recreational, natural resource, and agricultural values of the Delta.</w:t>
      </w:r>
      <w:r w:rsidR="003F0A51">
        <w:t xml:space="preserve"> The staff of the DPC supports the </w:t>
      </w:r>
      <w:r w:rsidR="001C3DA7">
        <w:t>DPC commissioners</w:t>
      </w:r>
      <w:r w:rsidR="003F0A51">
        <w:t xml:space="preserve"> and their work.</w:t>
      </w:r>
    </w:p>
    <w:p w14:paraId="69FC0CD6" w14:textId="0DEE7EE8" w:rsidR="00CE44D6" w:rsidRPr="003A3725" w:rsidRDefault="00F46201" w:rsidP="00E61F4E">
      <w:r w:rsidRPr="003A3725">
        <w:t xml:space="preserve">In </w:t>
      </w:r>
      <w:r w:rsidR="001A6618" w:rsidRPr="003A3725">
        <w:t>establishing</w:t>
      </w:r>
      <w:r w:rsidRPr="003A3725">
        <w:t xml:space="preserve"> the Sacramento-San Joaquin Delta National Heritage Area, Congress recognized </w:t>
      </w:r>
      <w:r w:rsidR="001C3DA7">
        <w:t>the DPC's</w:t>
      </w:r>
      <w:r w:rsidRPr="003A3725">
        <w:t xml:space="preserve"> existing responsibility as an asset and entrusted the long-term coordination and management of the NHA with the DPC. </w:t>
      </w:r>
      <w:r w:rsidR="004B4D1B" w:rsidRPr="003A3725">
        <w:t>A</w:t>
      </w:r>
      <w:r w:rsidR="0017127C" w:rsidRPr="003A3725">
        <w:t>s</w:t>
      </w:r>
      <w:r w:rsidR="00C73EB2" w:rsidRPr="003A3725">
        <w:t xml:space="preserve"> the</w:t>
      </w:r>
      <w:r w:rsidR="001C3DA7">
        <w:t xml:space="preserve"> NHA</w:t>
      </w:r>
      <w:r w:rsidR="0017127C" w:rsidRPr="003A3725">
        <w:t xml:space="preserve"> coordinating entity, </w:t>
      </w:r>
      <w:r w:rsidR="00C90E6D" w:rsidRPr="003A3725">
        <w:t xml:space="preserve">the </w:t>
      </w:r>
      <w:r w:rsidR="004B4D1B" w:rsidRPr="003A3725">
        <w:t>DPC</w:t>
      </w:r>
      <w:r w:rsidR="00201107" w:rsidRPr="003A3725">
        <w:t xml:space="preserve"> </w:t>
      </w:r>
      <w:r w:rsidR="00CC318A" w:rsidRPr="003A3725">
        <w:t>provides</w:t>
      </w:r>
      <w:r w:rsidR="0017127C" w:rsidRPr="003A3725">
        <w:t xml:space="preserve"> strategic</w:t>
      </w:r>
      <w:r w:rsidRPr="003A3725">
        <w:t xml:space="preserve"> </w:t>
      </w:r>
      <w:r w:rsidR="0017127C" w:rsidRPr="003A3725">
        <w:t>guidance,</w:t>
      </w:r>
      <w:r w:rsidR="00CC318A" w:rsidRPr="003A3725">
        <w:t xml:space="preserve"> approves</w:t>
      </w:r>
      <w:r w:rsidR="0017127C" w:rsidRPr="003A3725">
        <w:t xml:space="preserve"> significant decisions, and </w:t>
      </w:r>
      <w:r w:rsidR="00CC318A" w:rsidRPr="003A3725">
        <w:t>ensures</w:t>
      </w:r>
      <w:r w:rsidR="0017127C" w:rsidRPr="003A3725">
        <w:t xml:space="preserve"> alignment with the NHA’s goals, federal legislation, state laws, DPC’s plans, and other existing plans.</w:t>
      </w:r>
      <w:r w:rsidR="00C87F5D" w:rsidRPr="003A3725">
        <w:t xml:space="preserve"> </w:t>
      </w:r>
      <w:r w:rsidR="004008E6" w:rsidRPr="003A3725">
        <w:t xml:space="preserve">The DPC </w:t>
      </w:r>
      <w:r w:rsidR="00F97528">
        <w:t xml:space="preserve">has </w:t>
      </w:r>
      <w:r w:rsidR="0017127C" w:rsidRPr="003A3725">
        <w:t>expertise and resources to support the NHA's initiatives and connections with other state and local government agencies and partners within the NHA.</w:t>
      </w:r>
      <w:r w:rsidR="00C90E6D" w:rsidRPr="003A3725">
        <w:t xml:space="preserve"> </w:t>
      </w:r>
      <w:r w:rsidR="00BF08EC">
        <w:t>To ensure community and partner participation</w:t>
      </w:r>
      <w:r w:rsidR="007C1918">
        <w:t xml:space="preserve"> in the </w:t>
      </w:r>
      <w:r w:rsidR="00C90E6D" w:rsidRPr="003A3725">
        <w:t>c</w:t>
      </w:r>
      <w:r w:rsidR="007C1918">
        <w:t>oordination of</w:t>
      </w:r>
      <w:r w:rsidR="00C90E6D" w:rsidRPr="003A3725">
        <w:t xml:space="preserve"> the National Heritage Area</w:t>
      </w:r>
      <w:r w:rsidR="007C1918">
        <w:t>'s management plan</w:t>
      </w:r>
      <w:r w:rsidR="00F72B5E">
        <w:t>,</w:t>
      </w:r>
      <w:r w:rsidR="00C90E6D" w:rsidRPr="003A3725">
        <w:t xml:space="preserve"> the DPC created and appointed</w:t>
      </w:r>
      <w:r w:rsidR="00CC318A" w:rsidRPr="003A3725">
        <w:t xml:space="preserve"> </w:t>
      </w:r>
      <w:r w:rsidR="004A5662">
        <w:t>m</w:t>
      </w:r>
      <w:r w:rsidR="0017127C" w:rsidRPr="003A3725">
        <w:t xml:space="preserve">embers to the NHA </w:t>
      </w:r>
      <w:r w:rsidR="004008E6" w:rsidRPr="003A3725">
        <w:t xml:space="preserve">Management Plan </w:t>
      </w:r>
      <w:r w:rsidR="0017127C" w:rsidRPr="003A3725">
        <w:t>Advisory Committee.</w:t>
      </w:r>
      <w:r w:rsidR="004008E6" w:rsidRPr="003A3725">
        <w:t xml:space="preserve"> </w:t>
      </w:r>
      <w:r w:rsidR="00C90E6D" w:rsidRPr="003A3725">
        <w:t xml:space="preserve">In addition, the DPC </w:t>
      </w:r>
      <w:r w:rsidR="001C3DA7">
        <w:t>i</w:t>
      </w:r>
      <w:r w:rsidR="00C73EB2" w:rsidRPr="003A3725">
        <w:t>s the NHA liaison with the National Park Service for administering the Heritage Partnership Program funding</w:t>
      </w:r>
      <w:r w:rsidR="004008E6" w:rsidRPr="003A3725">
        <w:t xml:space="preserve"> appropriated by Congress to the Sacramento-San Joaquin Delta National Heritage Area.</w:t>
      </w:r>
    </w:p>
    <w:p w14:paraId="4C5E3A67" w14:textId="77777777" w:rsidR="00482F58" w:rsidRPr="00482F58" w:rsidRDefault="00482F58" w:rsidP="00E61F4E">
      <w:r w:rsidRPr="00482F58">
        <w:t>Staffing the Sacramento-San Joaquin Delta National Heritage Area</w:t>
      </w:r>
    </w:p>
    <w:p w14:paraId="55F35530" w14:textId="3E56EDEE" w:rsidR="00482F58" w:rsidRPr="00482F58" w:rsidRDefault="00482F58" w:rsidP="00E61F4E">
      <w:r w:rsidRPr="00482F58">
        <w:t>The work of the Delta Protection Commission is currently managed through established professional positions within the DPC, whose time is proportionally allocated to staffing the Sacramento-San Joaquin Delta National Heritage Area. These existing positions</w:t>
      </w:r>
      <w:r w:rsidR="00BC4A78">
        <w:t xml:space="preserve"> are further described in this c</w:t>
      </w:r>
      <w:r w:rsidRPr="00482F58">
        <w:t>hapter under Strategy 5.2.1.</w:t>
      </w:r>
    </w:p>
    <w:p w14:paraId="7317EF1F" w14:textId="5B22C1C7" w:rsidR="00482F58" w:rsidRPr="00482F58" w:rsidRDefault="00482F58" w:rsidP="00E61F4E">
      <w:r w:rsidRPr="00482F58">
        <w:t>Although staff members exist to support the mission and responsibilities of the Delta Protection Commission, as stated earlier</w:t>
      </w:r>
      <w:r w:rsidR="00F72B5E">
        <w:t>,</w:t>
      </w:r>
      <w:r w:rsidRPr="00482F58">
        <w:t xml:space="preserve"> under state and federal law</w:t>
      </w:r>
      <w:r w:rsidR="00124B3B">
        <w:t>,</w:t>
      </w:r>
      <w:r w:rsidRPr="00482F58">
        <w:t xml:space="preserve"> the DPC and its staff are primarily responsible for the daily </w:t>
      </w:r>
      <w:r>
        <w:t>work</w:t>
      </w:r>
      <w:r w:rsidRPr="00482F58">
        <w:t xml:space="preserve"> of the NHA. In the </w:t>
      </w:r>
      <w:r w:rsidRPr="00482F58">
        <w:lastRenderedPageBreak/>
        <w:t>future</w:t>
      </w:r>
      <w:r>
        <w:t>,</w:t>
      </w:r>
      <w:r w:rsidRPr="00482F58">
        <w:t xml:space="preserve"> there could be a need to provide additional labor to effectively implement the NHA management plan. Staff could be existing DPC personnel not currently assigned to the NHA, or new hires by DPC</w:t>
      </w:r>
      <w:r>
        <w:t>,</w:t>
      </w:r>
      <w:r w:rsidRPr="00482F58">
        <w:t xml:space="preserve"> including full-time, part-time, or interns, “shared staff" through other state agencies, or through operational support grants to partners with a scope of work specific to the NHA. Other possible Sacramento-San Joaquin Delta NHA staff are identified, and their roles </w:t>
      </w:r>
      <w:r>
        <w:t xml:space="preserve">are </w:t>
      </w:r>
      <w:r w:rsidR="00BC4A78">
        <w:t>described further in this c</w:t>
      </w:r>
      <w:r w:rsidRPr="00482F58">
        <w:t>hapter under Strategy 5.2.2.</w:t>
      </w:r>
    </w:p>
    <w:p w14:paraId="30D373DC" w14:textId="53872340" w:rsidR="00EE0BDA" w:rsidRPr="0017127C" w:rsidRDefault="00EE0BDA" w:rsidP="00E61F4E">
      <w:pPr>
        <w:pStyle w:val="Heading3"/>
      </w:pPr>
      <w:r w:rsidRPr="0017127C">
        <w:t xml:space="preserve">Sacramento-San Joaquin Delta NHA </w:t>
      </w:r>
      <w:r>
        <w:t xml:space="preserve">Advisory </w:t>
      </w:r>
      <w:r w:rsidRPr="0017127C">
        <w:t>Committee</w:t>
      </w:r>
      <w:r>
        <w:t xml:space="preserve"> and Task Groups</w:t>
      </w:r>
    </w:p>
    <w:p w14:paraId="1FB2A030" w14:textId="2B3BE06B" w:rsidR="00201107" w:rsidRDefault="00EE0BDA" w:rsidP="00E61F4E">
      <w:r w:rsidRPr="0017127C">
        <w:t xml:space="preserve">The NHA Advisory Committee and its </w:t>
      </w:r>
      <w:r>
        <w:t>t</w:t>
      </w:r>
      <w:r w:rsidRPr="0017127C">
        <w:t xml:space="preserve">ask </w:t>
      </w:r>
      <w:r>
        <w:t>g</w:t>
      </w:r>
      <w:r w:rsidRPr="0017127C">
        <w:t>roups</w:t>
      </w:r>
      <w:r w:rsidR="00F60B6F">
        <w:t xml:space="preserve"> </w:t>
      </w:r>
      <w:r w:rsidR="00082777">
        <w:t xml:space="preserve">were </w:t>
      </w:r>
      <w:r w:rsidR="00201107">
        <w:t>created at the outset of t</w:t>
      </w:r>
      <w:r w:rsidR="00811D7F">
        <w:t>he management planning process. T</w:t>
      </w:r>
      <w:r w:rsidR="00201107" w:rsidRPr="00201107">
        <w:t>he NHA Advisory Committee serve</w:t>
      </w:r>
      <w:r w:rsidR="00D0564D">
        <w:t>d</w:t>
      </w:r>
      <w:r w:rsidR="00201107" w:rsidRPr="00201107">
        <w:t xml:space="preserve"> the essential role of fur</w:t>
      </w:r>
      <w:r w:rsidR="00201107">
        <w:t xml:space="preserve">nishing recommendations to </w:t>
      </w:r>
      <w:r w:rsidR="00201107" w:rsidRPr="00201107">
        <w:t xml:space="preserve">the </w:t>
      </w:r>
      <w:r w:rsidR="00082777">
        <w:t>Delta Protection Commission and the DPC staff</w:t>
      </w:r>
      <w:r w:rsidR="00082777" w:rsidRPr="00201107">
        <w:t xml:space="preserve"> </w:t>
      </w:r>
      <w:r w:rsidR="00201107" w:rsidRPr="00201107">
        <w:t>re</w:t>
      </w:r>
      <w:r w:rsidR="0021105C">
        <w:t>garding the formulation of the management p</w:t>
      </w:r>
      <w:r w:rsidR="00201107" w:rsidRPr="00201107">
        <w:t xml:space="preserve">lan. It also actively solicits feedback from a diverse range of stakeholders, which encompasses government entities at all levels, businesses, landowners, agricultural enterprises, community representatives, cultural and natural resource advocates, recreational organizations, and the </w:t>
      </w:r>
      <w:proofErr w:type="gramStart"/>
      <w:r w:rsidR="00201107" w:rsidRPr="00201107">
        <w:t>general public</w:t>
      </w:r>
      <w:proofErr w:type="gramEnd"/>
      <w:r w:rsidR="00201107" w:rsidRPr="00201107">
        <w:t>.</w:t>
      </w:r>
    </w:p>
    <w:p w14:paraId="258F3B10" w14:textId="1DC1F857" w:rsidR="00EE0BDA" w:rsidRPr="00E61F4E" w:rsidRDefault="004874D9" w:rsidP="00E61F4E">
      <w:pPr>
        <w:pStyle w:val="Heading4"/>
      </w:pPr>
      <w:r w:rsidRPr="00E61F4E">
        <w:t xml:space="preserve">Management Plan </w:t>
      </w:r>
      <w:r w:rsidR="00EE0BDA" w:rsidRPr="00E61F4E">
        <w:t xml:space="preserve">Advisory Committee Transition to </w:t>
      </w:r>
      <w:r w:rsidRPr="00E61F4E">
        <w:t>the NHA Community Advisory Committee</w:t>
      </w:r>
    </w:p>
    <w:p w14:paraId="4BC04316" w14:textId="502CE15C" w:rsidR="001D17AD" w:rsidRDefault="00EE0BDA" w:rsidP="00E61F4E">
      <w:r>
        <w:t xml:space="preserve">To facilitate a transition from developing the management plan to implementation of the plan, it is recommended that the </w:t>
      </w:r>
      <w:r w:rsidR="004874D9">
        <w:t xml:space="preserve">Management Plan </w:t>
      </w:r>
      <w:r>
        <w:t xml:space="preserve">Advisory Committee continue its involvement as a </w:t>
      </w:r>
      <w:r w:rsidR="004874D9">
        <w:t>Community Advisory Committee</w:t>
      </w:r>
      <w:r>
        <w:t xml:space="preserve"> of the NHA</w:t>
      </w:r>
      <w:r w:rsidR="00D0564D">
        <w:t xml:space="preserve">. </w:t>
      </w:r>
      <w:r>
        <w:t>Doing s</w:t>
      </w:r>
      <w:r w:rsidR="0023673D">
        <w:t xml:space="preserve">o, it can continue to </w:t>
      </w:r>
      <w:r w:rsidR="00082777">
        <w:t xml:space="preserve">provide </w:t>
      </w:r>
      <w:r w:rsidR="0023673D">
        <w:t>advice</w:t>
      </w:r>
      <w:r>
        <w:t xml:space="preserve"> and guidance in the implementation of the </w:t>
      </w:r>
      <w:r w:rsidRPr="0017127C">
        <w:t>management plan</w:t>
      </w:r>
      <w:r>
        <w:t xml:space="preserve"> while maintaining the critical involvement of the Delta community representatives from business, cultural organizations, citizens' groups, historical societies and museums, environmental organizations, and other partners</w:t>
      </w:r>
      <w:r w:rsidRPr="0017127C">
        <w:t>.</w:t>
      </w:r>
      <w:r w:rsidR="0023673D">
        <w:t xml:space="preserve"> </w:t>
      </w:r>
      <w:r w:rsidR="001D17AD">
        <w:t xml:space="preserve">The recommended role for the </w:t>
      </w:r>
      <w:r w:rsidR="00D0564D">
        <w:t xml:space="preserve">Community </w:t>
      </w:r>
      <w:r w:rsidR="004874D9">
        <w:t xml:space="preserve">Advisory Committee </w:t>
      </w:r>
      <w:r w:rsidR="00BC4A78">
        <w:t>is detailed further in this c</w:t>
      </w:r>
      <w:r w:rsidR="001D17AD">
        <w:t>hapter under Strategy 5.2.3</w:t>
      </w:r>
    </w:p>
    <w:p w14:paraId="15BAA6B7" w14:textId="7AD526B2" w:rsidR="003B2B62" w:rsidRPr="003B2B62" w:rsidRDefault="00EE0BDA" w:rsidP="00E61F4E">
      <w:r>
        <w:t xml:space="preserve">In addition </w:t>
      </w:r>
      <w:r w:rsidR="004874D9">
        <w:t xml:space="preserve">to the </w:t>
      </w:r>
      <w:r w:rsidR="00D0564D">
        <w:t xml:space="preserve">Community </w:t>
      </w:r>
      <w:r w:rsidR="004874D9">
        <w:t>Advisory Committee</w:t>
      </w:r>
      <w:r>
        <w:t xml:space="preserve">, smaller task groups, acting as subcommittees, would be </w:t>
      </w:r>
      <w:proofErr w:type="gramStart"/>
      <w:r w:rsidR="007A0B6A">
        <w:t>continued</w:t>
      </w:r>
      <w:proofErr w:type="gramEnd"/>
      <w:r w:rsidR="00927303">
        <w:t xml:space="preserve"> or established</w:t>
      </w:r>
      <w:r>
        <w:t xml:space="preserve"> and </w:t>
      </w:r>
      <w:r w:rsidR="00E73084">
        <w:t xml:space="preserve">will </w:t>
      </w:r>
      <w:r>
        <w:t xml:space="preserve">meet as necessary to carry out work with DPC staff within the NHA. Some of the task groups described were </w:t>
      </w:r>
      <w:r w:rsidR="00901360">
        <w:t>creat</w:t>
      </w:r>
      <w:r>
        <w:t xml:space="preserve">ed during the management planning process. Others could be established as needed </w:t>
      </w:r>
      <w:r w:rsidR="00901360">
        <w:t>to</w:t>
      </w:r>
      <w:r>
        <w:t xml:space="preserve"> implement the recommendations in the management plan. </w:t>
      </w:r>
      <w:r w:rsidR="003B2B62" w:rsidRPr="003B2B62">
        <w:t xml:space="preserve">During the management planning process, </w:t>
      </w:r>
      <w:r w:rsidR="009D0934">
        <w:t xml:space="preserve">most </w:t>
      </w:r>
      <w:r w:rsidR="003B2B62" w:rsidRPr="003B2B62">
        <w:t>task group members were also member</w:t>
      </w:r>
      <w:r w:rsidR="00DD660C">
        <w:t>s</w:t>
      </w:r>
      <w:r w:rsidR="003B2B62" w:rsidRPr="003B2B62">
        <w:t xml:space="preserve"> of the Advisory Committee. </w:t>
      </w:r>
      <w:proofErr w:type="gramStart"/>
      <w:r w:rsidR="003B2B62" w:rsidRPr="003B2B62">
        <w:t>As a way to</w:t>
      </w:r>
      <w:proofErr w:type="gramEnd"/>
      <w:r w:rsidR="003B2B62" w:rsidRPr="003B2B62">
        <w:t xml:space="preserve"> build capacity within the task groups, membership could include others from the NHA not</w:t>
      </w:r>
      <w:r w:rsidR="00DD660C">
        <w:t xml:space="preserve"> serving on the </w:t>
      </w:r>
      <w:r w:rsidR="00D0564D">
        <w:t xml:space="preserve">Community </w:t>
      </w:r>
      <w:r w:rsidR="00DD660C">
        <w:t>Advisory</w:t>
      </w:r>
      <w:r w:rsidR="004874D9">
        <w:t xml:space="preserve"> Committee</w:t>
      </w:r>
      <w:r w:rsidR="00D0564D">
        <w:t>.</w:t>
      </w:r>
      <w:r w:rsidR="00DD660C">
        <w:t xml:space="preserve"> The suggested task groups </w:t>
      </w:r>
      <w:r w:rsidR="00D0564D">
        <w:t>are described</w:t>
      </w:r>
      <w:r w:rsidR="00BC4A78">
        <w:t xml:space="preserve"> in this c</w:t>
      </w:r>
      <w:r w:rsidR="00DD660C">
        <w:t xml:space="preserve">hapter under </w:t>
      </w:r>
      <w:r w:rsidR="0001634F">
        <w:t>S</w:t>
      </w:r>
      <w:r w:rsidR="00DD660C">
        <w:t>trategy 5.2.4.</w:t>
      </w:r>
    </w:p>
    <w:p w14:paraId="0CA11B03" w14:textId="29DB607F" w:rsidR="000727D0" w:rsidRPr="007A055F" w:rsidRDefault="000727D0" w:rsidP="00E61F4E">
      <w:pPr>
        <w:pStyle w:val="Heading2"/>
      </w:pPr>
      <w:r w:rsidRPr="007A055F">
        <w:lastRenderedPageBreak/>
        <w:t>Partnership Collaboration as a Part of Managing the National Heritage Area</w:t>
      </w:r>
      <w:r w:rsidR="005C0B72">
        <w:t xml:space="preserve"> – Establishing Guiding Principles for Collaboration</w:t>
      </w:r>
    </w:p>
    <w:p w14:paraId="22317B0F" w14:textId="49945222" w:rsidR="0093044A" w:rsidRDefault="0093044A" w:rsidP="00E61F4E">
      <w:r>
        <w:t>G</w:t>
      </w:r>
      <w:r w:rsidRPr="000727D0">
        <w:t>uiding p</w:t>
      </w:r>
      <w:r>
        <w:t xml:space="preserve">rinciples for collaboration </w:t>
      </w:r>
      <w:r w:rsidRPr="000727D0">
        <w:t xml:space="preserve">for </w:t>
      </w:r>
      <w:r>
        <w:t>the Sacramento-San Joaquin Delta National Heritage Area are important to enact</w:t>
      </w:r>
      <w:r w:rsidRPr="000727D0">
        <w:t xml:space="preserve"> to foster effective, inclusive, and sustainable partnerships a</w:t>
      </w:r>
      <w:r>
        <w:t xml:space="preserve">mong diverse stakeholders. </w:t>
      </w:r>
      <w:r w:rsidRPr="00F60B6F">
        <w:t xml:space="preserve">A draft of guiding principles is contained in </w:t>
      </w:r>
      <w:r w:rsidRPr="000478E2">
        <w:t>Appendix</w:t>
      </w:r>
      <w:r w:rsidR="009F4593" w:rsidRPr="000478E2">
        <w:t xml:space="preserve"> </w:t>
      </w:r>
      <w:r w:rsidR="000478E2" w:rsidRPr="000478E2">
        <w:t>G</w:t>
      </w:r>
      <w:r w:rsidR="000478E2">
        <w:t xml:space="preserve"> </w:t>
      </w:r>
      <w:r w:rsidRPr="009F4593">
        <w:t xml:space="preserve">and is provided for consideration by </w:t>
      </w:r>
      <w:r w:rsidR="003A6135" w:rsidRPr="009F4593">
        <w:t xml:space="preserve">the </w:t>
      </w:r>
      <w:r w:rsidRPr="009F4593">
        <w:t>DPC and</w:t>
      </w:r>
      <w:r>
        <w:t xml:space="preserve"> the partners of the Sacramento-San Joaquin Delta National Heritage Area</w:t>
      </w:r>
      <w:r w:rsidRPr="000727D0">
        <w:t xml:space="preserve"> for preserving and celebrating the rich</w:t>
      </w:r>
      <w:r>
        <w:t xml:space="preserve"> heritage and resources of the NHA.</w:t>
      </w:r>
    </w:p>
    <w:p w14:paraId="11AD0577" w14:textId="16F9B121" w:rsidR="000727D0" w:rsidRPr="000727D0" w:rsidRDefault="000727D0" w:rsidP="00E61F4E">
      <w:r w:rsidRPr="000727D0">
        <w:t xml:space="preserve">Guiding principles for collaboration are important for National Heritage Areas (NHAs) for </w:t>
      </w:r>
      <w:r w:rsidR="009F4593">
        <w:t xml:space="preserve">the </w:t>
      </w:r>
      <w:r w:rsidRPr="000727D0">
        <w:t>reasons</w:t>
      </w:r>
      <w:r w:rsidR="009F4593">
        <w:t xml:space="preserve"> set forth below.</w:t>
      </w:r>
    </w:p>
    <w:p w14:paraId="5B753E12" w14:textId="77777777" w:rsidR="007A055F" w:rsidRDefault="000727D0" w:rsidP="00E61F4E">
      <w:pPr>
        <w:pStyle w:val="Heading3"/>
      </w:pPr>
      <w:r w:rsidRPr="000727D0">
        <w:t xml:space="preserve">Complexity of </w:t>
      </w:r>
      <w:r>
        <w:t>the Sacramento-San Joaquin Delta NHA</w:t>
      </w:r>
    </w:p>
    <w:p w14:paraId="35B76DDD" w14:textId="205C2125" w:rsidR="000727D0" w:rsidRPr="000727D0" w:rsidRDefault="000727D0" w:rsidP="00E61F4E">
      <w:r>
        <w:t xml:space="preserve">As with almost all National Heritage Areas, the </w:t>
      </w:r>
      <w:r w:rsidR="005071CA">
        <w:t xml:space="preserve">Sacramento-San Joaquin </w:t>
      </w:r>
      <w:r>
        <w:t xml:space="preserve">Delta is a </w:t>
      </w:r>
      <w:r w:rsidRPr="000727D0">
        <w:t xml:space="preserve">large, diverse </w:t>
      </w:r>
      <w:r>
        <w:t>region</w:t>
      </w:r>
      <w:r w:rsidRPr="000727D0">
        <w:t xml:space="preserve"> that </w:t>
      </w:r>
      <w:r w:rsidR="005071CA">
        <w:t>encompasses</w:t>
      </w:r>
      <w:r w:rsidRPr="000727D0">
        <w:t xml:space="preserve"> cultural, historical, and natural resources. Managing</w:t>
      </w:r>
      <w:r>
        <w:t xml:space="preserve"> and preserving this area will involve</w:t>
      </w:r>
      <w:r w:rsidRPr="000727D0">
        <w:t xml:space="preserve"> multiple stakeholders, including federal agencies, state and local governments, nonprofit organizations, </w:t>
      </w:r>
      <w:r w:rsidR="00307DAD">
        <w:t xml:space="preserve">businesses, </w:t>
      </w:r>
      <w:r w:rsidRPr="000727D0">
        <w:t>local communit</w:t>
      </w:r>
      <w:r w:rsidR="00307DAD">
        <w:t xml:space="preserve">y groups, and </w:t>
      </w:r>
      <w:r w:rsidR="00044B84">
        <w:t>individuals</w:t>
      </w:r>
      <w:r w:rsidRPr="000727D0">
        <w:t>. Guiding principles</w:t>
      </w:r>
      <w:r w:rsidR="00F60B6F">
        <w:t xml:space="preserve"> </w:t>
      </w:r>
      <w:r w:rsidRPr="000727D0">
        <w:t xml:space="preserve">provide a framework for collaboration among these diverse </w:t>
      </w:r>
      <w:r w:rsidR="00307DAD">
        <w:t>constituencies</w:t>
      </w:r>
      <w:r w:rsidRPr="000727D0">
        <w:t>.</w:t>
      </w:r>
    </w:p>
    <w:p w14:paraId="18421AB0" w14:textId="77777777" w:rsidR="007A055F" w:rsidRPr="007A055F" w:rsidRDefault="000727D0" w:rsidP="00E61F4E">
      <w:pPr>
        <w:pStyle w:val="Heading3"/>
      </w:pPr>
      <w:r w:rsidRPr="007A055F">
        <w:t>Shared Vision</w:t>
      </w:r>
    </w:p>
    <w:p w14:paraId="58FE83A3" w14:textId="6D5CB2BE" w:rsidR="000727D0" w:rsidRPr="000727D0" w:rsidRDefault="000727D0" w:rsidP="00E61F4E">
      <w:r w:rsidRPr="000727D0">
        <w:t>NHAs are designated t</w:t>
      </w:r>
      <w:r>
        <w:t>o protect and promote the nationally significant</w:t>
      </w:r>
      <w:r w:rsidRPr="000727D0">
        <w:t xml:space="preserve"> heritage and resources of a region. Esta</w:t>
      </w:r>
      <w:r>
        <w:t>blishing guiding principles for the Sacramento-San Joaquin Delta National Heritage Area</w:t>
      </w:r>
      <w:r w:rsidRPr="000727D0">
        <w:t xml:space="preserve"> stakeholders</w:t>
      </w:r>
      <w:r>
        <w:t xml:space="preserve"> solidifies the</w:t>
      </w:r>
      <w:r w:rsidR="005071CA">
        <w:t xml:space="preserve"> shared vision for the NHA</w:t>
      </w:r>
      <w:r w:rsidRPr="000727D0">
        <w:t>'s future, ensuring that everyone involved is working toward common goals and objectives.</w:t>
      </w:r>
    </w:p>
    <w:p w14:paraId="0E6BCF31" w14:textId="77777777" w:rsidR="007A055F" w:rsidRDefault="000727D0" w:rsidP="00E61F4E">
      <w:pPr>
        <w:pStyle w:val="Heading3"/>
      </w:pPr>
      <w:r w:rsidRPr="000727D0">
        <w:t>Resource Management</w:t>
      </w:r>
    </w:p>
    <w:p w14:paraId="370CE194" w14:textId="514A6929" w:rsidR="000727D0" w:rsidRPr="000727D0" w:rsidRDefault="000727D0" w:rsidP="00E61F4E">
      <w:r w:rsidRPr="000727D0">
        <w:t>NHAs</w:t>
      </w:r>
      <w:r w:rsidR="00F60B6F">
        <w:t xml:space="preserve"> </w:t>
      </w:r>
      <w:r w:rsidRPr="000727D0">
        <w:t xml:space="preserve">include important </w:t>
      </w:r>
      <w:r w:rsidR="00D0564D">
        <w:t xml:space="preserve">historic, </w:t>
      </w:r>
      <w:r w:rsidRPr="000727D0">
        <w:t>natural</w:t>
      </w:r>
      <w:r w:rsidR="004444E9">
        <w:t>,</w:t>
      </w:r>
      <w:r w:rsidRPr="000727D0">
        <w:t xml:space="preserve"> and cultural resources that require careful management</w:t>
      </w:r>
      <w:r w:rsidR="005071CA">
        <w:t xml:space="preserve"> and preservation. Guiding</w:t>
      </w:r>
      <w:r w:rsidRPr="000727D0">
        <w:t xml:space="preserve"> principles</w:t>
      </w:r>
      <w:r w:rsidR="005071CA">
        <w:t xml:space="preserve"> for collaboration</w:t>
      </w:r>
      <w:r w:rsidR="00F60B6F">
        <w:t xml:space="preserve"> help to </w:t>
      </w:r>
      <w:r w:rsidR="005071CA">
        <w:t xml:space="preserve">shape </w:t>
      </w:r>
      <w:r w:rsidRPr="000727D0">
        <w:t>responsible stewardship</w:t>
      </w:r>
      <w:r w:rsidR="005071CA">
        <w:t xml:space="preserve"> of these resources among partners</w:t>
      </w:r>
      <w:r w:rsidRPr="000727D0">
        <w:t>, ensuring their protection for future generations.</w:t>
      </w:r>
    </w:p>
    <w:p w14:paraId="44CDCF99" w14:textId="77777777" w:rsidR="007A055F" w:rsidRDefault="000727D0" w:rsidP="00E61F4E">
      <w:pPr>
        <w:pStyle w:val="Heading3"/>
      </w:pPr>
      <w:r w:rsidRPr="000727D0">
        <w:t xml:space="preserve">Community Involvement </w:t>
      </w:r>
    </w:p>
    <w:p w14:paraId="0436AAAF" w14:textId="343733DF" w:rsidR="000727D0" w:rsidRPr="000727D0" w:rsidRDefault="000727D0" w:rsidP="00E61F4E">
      <w:r w:rsidRPr="000727D0">
        <w:t>Local comm</w:t>
      </w:r>
      <w:r w:rsidR="005071CA">
        <w:t>unities play a vital role in the Sacramento-San Joaquin Delta NHA</w:t>
      </w:r>
      <w:r w:rsidRPr="000727D0">
        <w:t>, as their h</w:t>
      </w:r>
      <w:r w:rsidR="005071CA">
        <w:t>eritage and traditions are central to the region</w:t>
      </w:r>
      <w:r w:rsidRPr="000727D0">
        <w:t>'s identity. Guiding principles can emphasize the importance of engaging and involving local communities in decision-making processes, respecting their knowledge and perspectives.</w:t>
      </w:r>
    </w:p>
    <w:p w14:paraId="3D068220" w14:textId="77777777" w:rsidR="007A055F" w:rsidRPr="007A055F" w:rsidRDefault="000727D0" w:rsidP="00E61F4E">
      <w:pPr>
        <w:pStyle w:val="Heading3"/>
      </w:pPr>
      <w:r w:rsidRPr="000727D0">
        <w:t>Coordination</w:t>
      </w:r>
    </w:p>
    <w:p w14:paraId="403EACBA" w14:textId="570A30FF" w:rsidR="000727D0" w:rsidRPr="000727D0" w:rsidRDefault="000727D0" w:rsidP="00E61F4E">
      <w:r w:rsidRPr="000727D0">
        <w:t>Effective collaboration is crucial for the success of NHAs. Guiding principles can help coordinate activities, resources, and efforts among different stakeholders, reducing duplication of efforts and promoting efficient use of resources.</w:t>
      </w:r>
    </w:p>
    <w:p w14:paraId="5E66CA6A" w14:textId="77777777" w:rsidR="007A055F" w:rsidRPr="007A055F" w:rsidRDefault="000727D0" w:rsidP="00E61F4E">
      <w:pPr>
        <w:pStyle w:val="Heading3"/>
      </w:pPr>
      <w:r w:rsidRPr="000727D0">
        <w:lastRenderedPageBreak/>
        <w:t>Sustainability</w:t>
      </w:r>
    </w:p>
    <w:p w14:paraId="3F753B67" w14:textId="00C9F273" w:rsidR="000727D0" w:rsidRPr="000727D0" w:rsidRDefault="000727D0" w:rsidP="00E61F4E">
      <w:r w:rsidRPr="000727D0">
        <w:t>NHAs aim to sustain the region's heritage and resources over the long term. Guiding princi</w:t>
      </w:r>
      <w:r w:rsidR="005071CA">
        <w:t xml:space="preserve">ples can include </w:t>
      </w:r>
      <w:r w:rsidR="005071CA" w:rsidRPr="000727D0">
        <w:t>values</w:t>
      </w:r>
      <w:r w:rsidRPr="000727D0">
        <w:t xml:space="preserve"> that guide decision-making to ensure the area's vitality and integrity for future generations.</w:t>
      </w:r>
    </w:p>
    <w:p w14:paraId="3C038A0D" w14:textId="77777777" w:rsidR="007A055F" w:rsidRPr="007A055F" w:rsidRDefault="000727D0" w:rsidP="00E61F4E">
      <w:pPr>
        <w:pStyle w:val="Heading3"/>
      </w:pPr>
      <w:r w:rsidRPr="000727D0">
        <w:t>Conflict Resolution</w:t>
      </w:r>
    </w:p>
    <w:p w14:paraId="0F74C479" w14:textId="192F05F0" w:rsidR="000727D0" w:rsidRPr="000727D0" w:rsidRDefault="000727D0" w:rsidP="00E61F4E">
      <w:r w:rsidRPr="000727D0">
        <w:t>Disagreements and conflicts can arise in collaborative efforts. Having guiding principles in place can provide a framework for resolving conflicts and disputes in a fair and constructive manner.</w:t>
      </w:r>
    </w:p>
    <w:p w14:paraId="38D21135" w14:textId="77777777" w:rsidR="007A055F" w:rsidRPr="007A055F" w:rsidRDefault="000727D0" w:rsidP="00E61F4E">
      <w:pPr>
        <w:pStyle w:val="Heading3"/>
      </w:pPr>
      <w:r w:rsidRPr="000727D0">
        <w:t>Accountability</w:t>
      </w:r>
    </w:p>
    <w:p w14:paraId="0DA21892" w14:textId="19359CEE" w:rsidR="000727D0" w:rsidRPr="000727D0" w:rsidRDefault="000727D0" w:rsidP="00E61F4E">
      <w:r w:rsidRPr="000727D0">
        <w:t>Guiding principles can establish accountability mechanisms, ensuring that all stakeholders fulfill their commitments and responsibilities. This accountability helps maintain trust among collaborators</w:t>
      </w:r>
      <w:r w:rsidR="002625BA">
        <w:t xml:space="preserve"> and partners</w:t>
      </w:r>
      <w:r w:rsidRPr="000727D0">
        <w:t>.</w:t>
      </w:r>
    </w:p>
    <w:p w14:paraId="3EC5562B" w14:textId="77777777" w:rsidR="007A055F" w:rsidRPr="007A055F" w:rsidRDefault="000727D0" w:rsidP="00E61F4E">
      <w:pPr>
        <w:pStyle w:val="Heading3"/>
      </w:pPr>
      <w:r w:rsidRPr="000727D0">
        <w:t>Adaptability</w:t>
      </w:r>
    </w:p>
    <w:p w14:paraId="1E955EE0" w14:textId="3AC5511B" w:rsidR="000727D0" w:rsidRPr="000727D0" w:rsidRDefault="000727D0" w:rsidP="00E61F4E">
      <w:r w:rsidRPr="000727D0">
        <w:t xml:space="preserve">As circumstances change, </w:t>
      </w:r>
      <w:r w:rsidR="005071CA">
        <w:t>the Sacramento-San Joaquin Delta NHA</w:t>
      </w:r>
      <w:r w:rsidRPr="000727D0">
        <w:t xml:space="preserve"> may need to adapt </w:t>
      </w:r>
      <w:r w:rsidR="005071CA">
        <w:t>its</w:t>
      </w:r>
      <w:r w:rsidRPr="000727D0">
        <w:t xml:space="preserve"> strategies and priorities. Guiding principles can include provisions fo</w:t>
      </w:r>
      <w:r w:rsidR="005071CA">
        <w:t>r periodic review and adjustment to the management plan</w:t>
      </w:r>
      <w:r w:rsidRPr="000727D0">
        <w:t>, allowing the collaboration to remain responsive to evolving challenges and opportunities.</w:t>
      </w:r>
    </w:p>
    <w:p w14:paraId="32F51CA4" w14:textId="77777777" w:rsidR="007A055F" w:rsidRPr="007A055F" w:rsidRDefault="000727D0" w:rsidP="00E61F4E">
      <w:pPr>
        <w:pStyle w:val="Heading3"/>
      </w:pPr>
      <w:r w:rsidRPr="000727D0">
        <w:t>Funding and Support</w:t>
      </w:r>
    </w:p>
    <w:p w14:paraId="636575F0" w14:textId="3A6E425F" w:rsidR="000727D0" w:rsidRPr="000727D0" w:rsidRDefault="000727D0" w:rsidP="00E61F4E">
      <w:r w:rsidRPr="000727D0">
        <w:t xml:space="preserve">Collaboration often requires financial and logistical support. Clear guiding principles can enhance the </w:t>
      </w:r>
      <w:r w:rsidR="005071CA">
        <w:t xml:space="preserve">Sacramento-San Joaquin Delta </w:t>
      </w:r>
      <w:r w:rsidR="002625BA">
        <w:t>NHA's</w:t>
      </w:r>
      <w:r w:rsidRPr="000727D0">
        <w:t xml:space="preserve"> credibility and attractiveness to potential funders and supporters, facilitating the acquisition of resources needed for successful preservation and promotion efforts.</w:t>
      </w:r>
    </w:p>
    <w:p w14:paraId="5AD655B3" w14:textId="5D13F9DD" w:rsidR="00456FF7" w:rsidRDefault="00052B05" w:rsidP="00E61F4E">
      <w:pPr>
        <w:pStyle w:val="Heading2"/>
      </w:pPr>
      <w:r>
        <w:t>P</w:t>
      </w:r>
      <w:r w:rsidR="00166434">
        <w:t>roviding P</w:t>
      </w:r>
      <w:r>
        <w:t xml:space="preserve">rofessional/Technical </w:t>
      </w:r>
      <w:r w:rsidR="00456FF7">
        <w:t>Assistance</w:t>
      </w:r>
      <w:r w:rsidR="00050533">
        <w:t xml:space="preserve"> to Partners to</w:t>
      </w:r>
      <w:r w:rsidR="00F60B6F">
        <w:t xml:space="preserve"> </w:t>
      </w:r>
      <w:r w:rsidR="00050533">
        <w:t>Advance the NHA</w:t>
      </w:r>
    </w:p>
    <w:p w14:paraId="7E5338D0" w14:textId="040CFE88" w:rsidR="00456FF7" w:rsidRPr="00456FF7" w:rsidRDefault="00ED3535" w:rsidP="00E61F4E">
      <w:r>
        <w:t>P</w:t>
      </w:r>
      <w:r w:rsidR="00456FF7" w:rsidRPr="00456FF7">
        <w:t>rofessio</w:t>
      </w:r>
      <w:r w:rsidR="00050533">
        <w:t xml:space="preserve">nal and </w:t>
      </w:r>
      <w:r>
        <w:t>t</w:t>
      </w:r>
      <w:r w:rsidR="0093044A">
        <w:t>echnical assistance</w:t>
      </w:r>
      <w:r>
        <w:t xml:space="preserve"> can be of significant benefit</w:t>
      </w:r>
      <w:r w:rsidR="00456FF7" w:rsidRPr="00456FF7">
        <w:t xml:space="preserve"> to the communities and partners of the Sacramento-San Joaquin De</w:t>
      </w:r>
      <w:r>
        <w:t xml:space="preserve">lta National Heritage Area as </w:t>
      </w:r>
      <w:r w:rsidR="00854FA6">
        <w:t xml:space="preserve">the </w:t>
      </w:r>
      <w:r w:rsidR="00456FF7" w:rsidRPr="00456FF7">
        <w:t>region</w:t>
      </w:r>
      <w:r w:rsidR="00052B05">
        <w:t xml:space="preserve"> </w:t>
      </w:r>
      <w:r w:rsidR="00456FF7" w:rsidRPr="00456FF7">
        <w:t>faces various complex challenges that require specialized know</w:t>
      </w:r>
      <w:r w:rsidR="00052B05">
        <w:t xml:space="preserve">ledge and resources. Throughout the management planning process, many partners and meeting participants expressed the need </w:t>
      </w:r>
      <w:r w:rsidR="009554E4">
        <w:t xml:space="preserve">for </w:t>
      </w:r>
      <w:r w:rsidR="00052B05">
        <w:t>professional expertise and technical advi</w:t>
      </w:r>
      <w:r w:rsidR="009554E4">
        <w:t>c</w:t>
      </w:r>
      <w:r w:rsidR="00052B05">
        <w:t>e</w:t>
      </w:r>
      <w:r w:rsidR="00F60B6F">
        <w:t xml:space="preserve"> </w:t>
      </w:r>
      <w:r w:rsidR="009554E4">
        <w:t xml:space="preserve">because </w:t>
      </w:r>
      <w:r w:rsidR="00052B05">
        <w:t xml:space="preserve">their organizations are mostly volunteers </w:t>
      </w:r>
      <w:r w:rsidR="00F60B6F">
        <w:t>who</w:t>
      </w:r>
      <w:r w:rsidR="00052B05">
        <w:t xml:space="preserve"> lack specialized knowledge and/or skills that are needed in their organizations or communities. </w:t>
      </w:r>
      <w:r w:rsidR="00854FA6">
        <w:t>As</w:t>
      </w:r>
      <w:r w:rsidR="00875736">
        <w:t xml:space="preserve"> discussed</w:t>
      </w:r>
      <w:r w:rsidR="00854FA6">
        <w:t xml:space="preserve"> in Chapter 5, one of the strategies to support partners is to provide technical assistance and training (</w:t>
      </w:r>
      <w:r w:rsidR="005F6EFA">
        <w:t>S</w:t>
      </w:r>
      <w:r w:rsidR="00854FA6">
        <w:t>trategy 4.2.3)</w:t>
      </w:r>
      <w:r w:rsidR="006E44D7">
        <w:t>.</w:t>
      </w:r>
      <w:r w:rsidR="00854FA6">
        <w:t xml:space="preserve"> </w:t>
      </w:r>
      <w:r w:rsidR="00052B05">
        <w:t xml:space="preserve">A technical assistance program within the Sacramento-San Joaquin Delta National Heritage Area would be </w:t>
      </w:r>
      <w:r w:rsidR="00456FF7" w:rsidRPr="00456FF7">
        <w:t>highly advantageous</w:t>
      </w:r>
      <w:r w:rsidR="001405EE">
        <w:t xml:space="preserve"> in providing the benefits described below.</w:t>
      </w:r>
    </w:p>
    <w:p w14:paraId="0785F9BC" w14:textId="77777777" w:rsidR="00854FA6" w:rsidRDefault="00A87546" w:rsidP="00E61F4E">
      <w:pPr>
        <w:pStyle w:val="Heading3"/>
      </w:pPr>
      <w:r>
        <w:t>Capacity Building</w:t>
      </w:r>
    </w:p>
    <w:p w14:paraId="29596065" w14:textId="747D98A7" w:rsidR="00456FF7" w:rsidRDefault="00456FF7" w:rsidP="00E61F4E">
      <w:r w:rsidRPr="00456FF7">
        <w:t xml:space="preserve">Many communities and partners within the Sacramento-San Joaquin Delta National Heritage Area may lack the necessary expertise and resources to </w:t>
      </w:r>
      <w:r w:rsidRPr="00456FF7">
        <w:lastRenderedPageBreak/>
        <w:t xml:space="preserve">address the region's multifaceted challenges effectively. A professional technical assistance program can provide the training and guidance required to build local capacity. This empowers communities to take a proactive role in preserving their </w:t>
      </w:r>
      <w:r w:rsidR="00052B05">
        <w:t>heritage</w:t>
      </w:r>
      <w:r w:rsidR="00875736">
        <w:t xml:space="preserve"> and</w:t>
      </w:r>
      <w:r w:rsidR="00052B05">
        <w:t xml:space="preserve"> managing their cultural, historic, and natural resources</w:t>
      </w:r>
      <w:r w:rsidRPr="00456FF7">
        <w:t>.</w:t>
      </w:r>
    </w:p>
    <w:p w14:paraId="14C03192" w14:textId="77777777" w:rsidR="00854FA6" w:rsidRDefault="00456FF7" w:rsidP="00E61F4E">
      <w:pPr>
        <w:pStyle w:val="Heading3"/>
      </w:pPr>
      <w:r w:rsidRPr="00456FF7">
        <w:t>Preserva</w:t>
      </w:r>
      <w:r w:rsidR="00A87546">
        <w:t>tion and Conservation Expertise</w:t>
      </w:r>
    </w:p>
    <w:p w14:paraId="3B77D711" w14:textId="3B1FFF74" w:rsidR="00456FF7" w:rsidRDefault="00456FF7" w:rsidP="00E61F4E">
      <w:r w:rsidRPr="00456FF7">
        <w:t>The</w:t>
      </w:r>
      <w:r w:rsidR="00F60B6F">
        <w:t xml:space="preserve"> </w:t>
      </w:r>
      <w:r w:rsidR="001405EE">
        <w:t>region</w:t>
      </w:r>
      <w:r w:rsidR="001405EE" w:rsidRPr="00456FF7">
        <w:t xml:space="preserve"> </w:t>
      </w:r>
      <w:r w:rsidRPr="00456FF7">
        <w:t>is home to significant historical sites, cultural landmarks, and a fragile ecological ecosystem. A technical assistance program can connect communities and partners with experts in heritage preservation and environmental conservation. This ensures that the cultural heritage and natural resources are protected, preserved, and managed sustainably for future generations.</w:t>
      </w:r>
    </w:p>
    <w:p w14:paraId="69D9F024" w14:textId="77777777" w:rsidR="00854FA6" w:rsidRDefault="00456FF7" w:rsidP="00E61F4E">
      <w:pPr>
        <w:pStyle w:val="Heading3"/>
      </w:pPr>
      <w:r w:rsidRPr="00456FF7">
        <w:t>S</w:t>
      </w:r>
      <w:r w:rsidR="00A87546">
        <w:t>ustainable Economic Development</w:t>
      </w:r>
    </w:p>
    <w:p w14:paraId="246EB13B" w14:textId="370BC4ED" w:rsidR="00456FF7" w:rsidRDefault="00456FF7" w:rsidP="00E61F4E">
      <w:r w:rsidRPr="00456FF7">
        <w:t>The</w:t>
      </w:r>
      <w:r w:rsidR="00F60B6F">
        <w:t xml:space="preserve"> </w:t>
      </w:r>
      <w:r w:rsidRPr="00456FF7">
        <w:t>region faces economic challenges due to shifts in industries like agriculture. Professional technical assistance can offer guidance on sustainable economic development strategies. This might include promoting heritage-based tourism, revitalizing local</w:t>
      </w:r>
      <w:r w:rsidR="00052B05">
        <w:t xml:space="preserve"> commercial districts</w:t>
      </w:r>
      <w:r w:rsidR="009B7271">
        <w:t xml:space="preserve"> and </w:t>
      </w:r>
      <w:r w:rsidR="00052B05">
        <w:t>main streets,</w:t>
      </w:r>
      <w:r w:rsidR="00DA4F5B">
        <w:t xml:space="preserve"> </w:t>
      </w:r>
      <w:r w:rsidRPr="00456FF7">
        <w:t>and encouraging small business development, thereby stimulating economic growth within the area.</w:t>
      </w:r>
    </w:p>
    <w:p w14:paraId="019D6356" w14:textId="77777777" w:rsidR="00854FA6" w:rsidRDefault="00A87546" w:rsidP="00E61F4E">
      <w:pPr>
        <w:pStyle w:val="Heading3"/>
      </w:pPr>
      <w:r>
        <w:t>Grant and Funding Support</w:t>
      </w:r>
    </w:p>
    <w:p w14:paraId="299E5EBF" w14:textId="670EC515" w:rsidR="00456FF7" w:rsidRPr="00456FF7" w:rsidRDefault="00456FF7" w:rsidP="00E61F4E">
      <w:r w:rsidRPr="00456FF7">
        <w:t xml:space="preserve">Technical assistance programs can help communities and partners navigate the complex world of grants and funding opportunities. </w:t>
      </w:r>
      <w:r w:rsidR="00570343">
        <w:t>The p</w:t>
      </w:r>
      <w:r w:rsidR="009B7271">
        <w:t xml:space="preserve">rogram </w:t>
      </w:r>
      <w:r w:rsidRPr="00456FF7">
        <w:t>can provide guidance on preparing competitive grant applications and managing grant-funded projects effectively, ensuring that the region secures the financial resources necessary for its various initiatives.</w:t>
      </w:r>
    </w:p>
    <w:p w14:paraId="3F1EE9CB" w14:textId="77777777" w:rsidR="00854FA6" w:rsidRDefault="00A87546" w:rsidP="00E61F4E">
      <w:pPr>
        <w:pStyle w:val="Heading3"/>
      </w:pPr>
      <w:r>
        <w:t>Educational Initiatives</w:t>
      </w:r>
      <w:r w:rsidR="001405EE" w:rsidRPr="001405EE">
        <w:t xml:space="preserve"> </w:t>
      </w:r>
    </w:p>
    <w:p w14:paraId="759718F8" w14:textId="018D5C16" w:rsidR="00456FF7" w:rsidRPr="00456FF7" w:rsidRDefault="00456FF7" w:rsidP="00E61F4E">
      <w:r w:rsidRPr="00456FF7">
        <w:t>Technical assistance can aid in the development of educational programs, outreach campaigns, and interpretive materials that convey the significance of the Sacramento-San Joaquin Delta</w:t>
      </w:r>
      <w:r w:rsidR="001405EE">
        <w:t xml:space="preserve">, Suisun Marsh, and </w:t>
      </w:r>
      <w:proofErr w:type="spellStart"/>
      <w:r w:rsidR="001405EE">
        <w:t>Carquinez</w:t>
      </w:r>
      <w:proofErr w:type="spellEnd"/>
      <w:r w:rsidR="001405EE">
        <w:t xml:space="preserve"> Strait</w:t>
      </w:r>
      <w:r w:rsidRPr="00456FF7">
        <w:t xml:space="preserve"> to the broader public. This educational outreach</w:t>
      </w:r>
      <w:r w:rsidR="00F60B6F">
        <w:t xml:space="preserve"> </w:t>
      </w:r>
      <w:r w:rsidRPr="00456FF7">
        <w:t>raise</w:t>
      </w:r>
      <w:r w:rsidR="00875736">
        <w:t>s</w:t>
      </w:r>
      <w:r w:rsidRPr="00456FF7">
        <w:t xml:space="preserve"> awareness about the </w:t>
      </w:r>
      <w:r w:rsidR="00854FA6">
        <w:t>NHA</w:t>
      </w:r>
      <w:r w:rsidRPr="00456FF7">
        <w:t xml:space="preserve"> and can attract </w:t>
      </w:r>
      <w:r w:rsidR="001405EE">
        <w:t>visitors</w:t>
      </w:r>
      <w:r w:rsidR="001405EE" w:rsidRPr="00456FF7">
        <w:t xml:space="preserve"> </w:t>
      </w:r>
      <w:r w:rsidRPr="00456FF7">
        <w:t>and investments that benefit the local economy.</w:t>
      </w:r>
    </w:p>
    <w:p w14:paraId="4B820E16" w14:textId="77777777" w:rsidR="00854FA6" w:rsidRDefault="00456FF7" w:rsidP="00E61F4E">
      <w:pPr>
        <w:pStyle w:val="Heading3"/>
      </w:pPr>
      <w:r w:rsidRPr="00456FF7">
        <w:t>Environmental Manage</w:t>
      </w:r>
      <w:r w:rsidR="00A87546">
        <w:t>ment and Conservation Practices</w:t>
      </w:r>
    </w:p>
    <w:p w14:paraId="18828D4E" w14:textId="47514ABD" w:rsidR="00456FF7" w:rsidRPr="00456FF7" w:rsidRDefault="00456FF7" w:rsidP="00E61F4E">
      <w:r w:rsidRPr="00456FF7">
        <w:t xml:space="preserve">As the Delta's ecological health is of paramount importance, technical assistance programs can provide </w:t>
      </w:r>
      <w:r w:rsidR="001405EE">
        <w:t xml:space="preserve">educational </w:t>
      </w:r>
      <w:r w:rsidRPr="00456FF7">
        <w:t>guidance on environmentally responsible practices. This includes assistance with habitat restoration, water management, and strategies to mitigate the impact of climate change.</w:t>
      </w:r>
    </w:p>
    <w:p w14:paraId="1E919A94" w14:textId="77777777" w:rsidR="00854FA6" w:rsidRDefault="00A87546" w:rsidP="00E61F4E">
      <w:pPr>
        <w:pStyle w:val="Heading3"/>
      </w:pPr>
      <w:r>
        <w:t>Collaborative Partnerships</w:t>
      </w:r>
    </w:p>
    <w:p w14:paraId="43B788F8" w14:textId="4D3A7FDF" w:rsidR="00456FF7" w:rsidRPr="00456FF7" w:rsidRDefault="00456FF7" w:rsidP="00E61F4E">
      <w:r w:rsidRPr="00456FF7">
        <w:t>The technical assistance program can facilitate collaboration among various partners, including community group</w:t>
      </w:r>
      <w:r w:rsidR="00DA4F5B">
        <w:t>s, government agencies, and non</w:t>
      </w:r>
      <w:r w:rsidRPr="00456FF7">
        <w:t xml:space="preserve">profit organizations. This helps foster a sense of shared responsibility for preservation </w:t>
      </w:r>
      <w:r w:rsidR="001405EE">
        <w:lastRenderedPageBreak/>
        <w:t xml:space="preserve">and conservation in the NHA </w:t>
      </w:r>
      <w:r w:rsidRPr="00456FF7">
        <w:t>and encourages the development of coordinated strategies.</w:t>
      </w:r>
    </w:p>
    <w:p w14:paraId="0E11BF60" w14:textId="77777777" w:rsidR="00854FA6" w:rsidRDefault="00456FF7" w:rsidP="00E61F4E">
      <w:pPr>
        <w:pStyle w:val="Heading3"/>
      </w:pPr>
      <w:r w:rsidRPr="00456FF7">
        <w:t>Community Engagement an</w:t>
      </w:r>
      <w:r w:rsidR="00A87546">
        <w:t>d Participation</w:t>
      </w:r>
    </w:p>
    <w:p w14:paraId="1B20BD83" w14:textId="58486993" w:rsidR="00F81FB3" w:rsidRDefault="00456FF7" w:rsidP="00E61F4E">
      <w:r w:rsidRPr="00456FF7">
        <w:t>T</w:t>
      </w:r>
      <w:r w:rsidR="00570343">
        <w:t>his program</w:t>
      </w:r>
      <w:r w:rsidRPr="00456FF7">
        <w:t xml:space="preserve"> can provide tools and support to engage the local community actively in heritage preservation and economic development initiatives. Empowering community members to take ownership of their heritage and future contributes to long-term sustainability.</w:t>
      </w:r>
    </w:p>
    <w:p w14:paraId="597FC321" w14:textId="22986258" w:rsidR="00A87546" w:rsidRPr="007A055F" w:rsidRDefault="00C90E6D" w:rsidP="00E61F4E">
      <w:pPr>
        <w:pStyle w:val="Heading1"/>
      </w:pPr>
      <w:r>
        <w:t xml:space="preserve">Possible </w:t>
      </w:r>
      <w:r w:rsidR="00A87546" w:rsidRPr="007A055F">
        <w:t>Future Coordinating Entities</w:t>
      </w:r>
    </w:p>
    <w:p w14:paraId="7EBCCD7A" w14:textId="43886E64" w:rsidR="00157A87" w:rsidRDefault="008F1116" w:rsidP="00E61F4E">
      <w:r>
        <w:t xml:space="preserve">Although the Delta Protection Commission is the </w:t>
      </w:r>
      <w:proofErr w:type="gramStart"/>
      <w:r>
        <w:t>congressionally-designated</w:t>
      </w:r>
      <w:proofErr w:type="gramEnd"/>
      <w:r>
        <w:t xml:space="preserve"> coordinating entity </w:t>
      </w:r>
      <w:r w:rsidR="001405EE">
        <w:t xml:space="preserve">for </w:t>
      </w:r>
      <w:r>
        <w:t xml:space="preserve">the Sacramento-San Joaquin Delta National Heritage Area, the management planning process revealed some issues of concern, appropriateness, or abilities </w:t>
      </w:r>
      <w:r w:rsidR="001405EE">
        <w:t xml:space="preserve">for the DPC </w:t>
      </w:r>
      <w:r>
        <w:t>to meet</w:t>
      </w:r>
      <w:r w:rsidR="006E44D7">
        <w:t xml:space="preserve"> adequately</w:t>
      </w:r>
      <w:r>
        <w:t xml:space="preserve"> the future staffing need</w:t>
      </w:r>
      <w:r w:rsidR="001405EE">
        <w:t>s</w:t>
      </w:r>
      <w:r>
        <w:t xml:space="preserve"> of the NHA</w:t>
      </w:r>
      <w:r w:rsidR="001405EE">
        <w:t xml:space="preserve">. </w:t>
      </w:r>
      <w:r>
        <w:t xml:space="preserve">As discussed earlier in this </w:t>
      </w:r>
      <w:r w:rsidR="001405EE">
        <w:t>c</w:t>
      </w:r>
      <w:r>
        <w:t>hapter, there are significant advantages for an NHA</w:t>
      </w:r>
      <w:r w:rsidR="001405EE" w:rsidRPr="001405EE">
        <w:t xml:space="preserve"> – </w:t>
      </w:r>
      <w:r>
        <w:t>especially one that is in its early stages of existence</w:t>
      </w:r>
      <w:r w:rsidR="001405EE" w:rsidRPr="001405EE">
        <w:t xml:space="preserve"> – </w:t>
      </w:r>
      <w:r>
        <w:t xml:space="preserve">to be housed within a governmental agency. </w:t>
      </w:r>
      <w:r w:rsidR="001405EE">
        <w:t>Conversely</w:t>
      </w:r>
      <w:r>
        <w:t>, there are</w:t>
      </w:r>
      <w:r w:rsidR="001C6065">
        <w:t xml:space="preserve"> </w:t>
      </w:r>
      <w:r>
        <w:t>disadvantages.</w:t>
      </w:r>
    </w:p>
    <w:p w14:paraId="4F3B4BE6" w14:textId="1536B225" w:rsidR="008F1116" w:rsidRDefault="008F1116" w:rsidP="00E61F4E">
      <w:r>
        <w:t>Several existing NHA</w:t>
      </w:r>
      <w:r w:rsidR="001405EE">
        <w:t>s</w:t>
      </w:r>
      <w:r w:rsidR="00157A87">
        <w:t xml:space="preserve"> began within </w:t>
      </w:r>
      <w:r>
        <w:t>units of governm</w:t>
      </w:r>
      <w:r w:rsidR="0042737C">
        <w:t>ent</w:t>
      </w:r>
      <w:r w:rsidR="001405EE" w:rsidRPr="001405EE">
        <w:t xml:space="preserve"> – </w:t>
      </w:r>
      <w:r w:rsidR="0042737C">
        <w:t xml:space="preserve">state agencies, county or city governments, or governmental </w:t>
      </w:r>
      <w:r>
        <w:t xml:space="preserve">authorities. </w:t>
      </w:r>
      <w:r w:rsidR="0042737C">
        <w:t>Almost all have become independent of those administrative houses, having used their periods of existence to grow the NHA both programmatically and administratively.</w:t>
      </w:r>
    </w:p>
    <w:p w14:paraId="4ABED3A1" w14:textId="71DAEE65" w:rsidR="0042737C" w:rsidRDefault="0042737C" w:rsidP="00E61F4E">
      <w:r>
        <w:t xml:space="preserve">The Delta Protection Commission is a well-respected, </w:t>
      </w:r>
      <w:proofErr w:type="gramStart"/>
      <w:r>
        <w:t>highly-regarded</w:t>
      </w:r>
      <w:proofErr w:type="gramEnd"/>
      <w:r>
        <w:t xml:space="preserve"> partner within the Sacramento-San Joaqui</w:t>
      </w:r>
      <w:r w:rsidR="00797F74">
        <w:t>n Delta region, and the issues</w:t>
      </w:r>
      <w:r>
        <w:t xml:space="preserve"> expressed by both partners and within the agency were not negative of the personnel or the professionalism of DPC. Instead, the </w:t>
      </w:r>
      <w:r w:rsidR="00797F74">
        <w:t xml:space="preserve">issues raised </w:t>
      </w:r>
      <w:r w:rsidR="00497F13">
        <w:t>concerned</w:t>
      </w:r>
      <w:r>
        <w:t xml:space="preserve"> the complex structure of California state government and</w:t>
      </w:r>
      <w:r w:rsidR="00ED3535">
        <w:t xml:space="preserve"> that </w:t>
      </w:r>
      <w:r>
        <w:t xml:space="preserve">those laws and regulations that DPC must operate within could constrain the ability of the NHA to respond to situations or opportunities when they may arise. </w:t>
      </w:r>
      <w:r w:rsidR="00671661">
        <w:t>Well-intentioned state laws, like the Bagley-Keene Open Meeting Act, sometimes created roadblocks to Advisory Committee meetings, thereb</w:t>
      </w:r>
      <w:r w:rsidR="008A7881">
        <w:t>y postponing important work and decisions</w:t>
      </w:r>
      <w:r w:rsidR="00671661">
        <w:t xml:space="preserve"> of the </w:t>
      </w:r>
      <w:r w:rsidR="008A7881">
        <w:t xml:space="preserve">Advisory </w:t>
      </w:r>
      <w:r w:rsidR="00F60B6F">
        <w:t>C</w:t>
      </w:r>
      <w:r w:rsidR="00671661">
        <w:t xml:space="preserve">ommittee and slowing the management planning process. </w:t>
      </w:r>
      <w:r w:rsidR="00D619E2">
        <w:t>The</w:t>
      </w:r>
      <w:r w:rsidR="00056E7C">
        <w:t xml:space="preserve"> Advisory Committee</w:t>
      </w:r>
      <w:r w:rsidR="00D619E2">
        <w:t xml:space="preserve"> member will need to meet</w:t>
      </w:r>
      <w:r w:rsidR="00056E7C">
        <w:t xml:space="preserve"> the</w:t>
      </w:r>
      <w:r w:rsidR="00671661">
        <w:t xml:space="preserve"> law's requirement</w:t>
      </w:r>
      <w:r w:rsidR="00056E7C">
        <w:t>s</w:t>
      </w:r>
      <w:r w:rsidR="00D619E2">
        <w:t xml:space="preserve"> of establishing a quorum</w:t>
      </w:r>
      <w:r w:rsidR="00671661">
        <w:t xml:space="preserve"> </w:t>
      </w:r>
      <w:r w:rsidR="00D619E2">
        <w:t xml:space="preserve">in one location </w:t>
      </w:r>
      <w:r w:rsidR="00056E7C">
        <w:t xml:space="preserve">so that </w:t>
      </w:r>
      <w:r w:rsidR="00671661">
        <w:t xml:space="preserve">future </w:t>
      </w:r>
      <w:r w:rsidR="00056E7C">
        <w:t>meeting</w:t>
      </w:r>
      <w:r w:rsidR="00D619E2">
        <w:t>s</w:t>
      </w:r>
      <w:r w:rsidR="00056E7C">
        <w:t xml:space="preserve"> will be able to occur </w:t>
      </w:r>
      <w:r w:rsidR="00671661">
        <w:t>for the Sacramento-San Joaquin Delta National Heritage Area.</w:t>
      </w:r>
    </w:p>
    <w:p w14:paraId="3506C7CD" w14:textId="7DBCCDEF" w:rsidR="00671661" w:rsidRDefault="00785280" w:rsidP="00E61F4E">
      <w:r>
        <w:t xml:space="preserve">Similarly, DPC </w:t>
      </w:r>
      <w:r w:rsidR="00671661">
        <w:t>operate</w:t>
      </w:r>
      <w:r>
        <w:t>s</w:t>
      </w:r>
      <w:r w:rsidR="00671661">
        <w:t xml:space="preserve"> within a system of state budgetary process</w:t>
      </w:r>
      <w:r w:rsidR="006A073F">
        <w:t>es</w:t>
      </w:r>
      <w:r w:rsidR="00671661">
        <w:t xml:space="preserve"> where all </w:t>
      </w:r>
      <w:r w:rsidR="00A60695">
        <w:t>budget increases</w:t>
      </w:r>
      <w:r w:rsidR="00671661">
        <w:t xml:space="preserve"> must be </w:t>
      </w:r>
      <w:r w:rsidR="001C6065">
        <w:t xml:space="preserve">requested and </w:t>
      </w:r>
      <w:r w:rsidR="00671661">
        <w:t>approved, including staff</w:t>
      </w:r>
      <w:r>
        <w:t xml:space="preserve"> additions</w:t>
      </w:r>
      <w:r w:rsidR="00671661">
        <w:t xml:space="preserve">. </w:t>
      </w:r>
      <w:r w:rsidR="00A736FC">
        <w:t>The DPC</w:t>
      </w:r>
      <w:r w:rsidR="00A736FC" w:rsidRPr="00A736FC">
        <w:t xml:space="preserve"> must use the state-approved job classifications when hiring staff. There are currently no exams or job classifications that target heritage; however, job classifications for historic preservation, conservation, and tourism can be </w:t>
      </w:r>
      <w:r w:rsidR="00A736FC" w:rsidRPr="00A736FC">
        <w:lastRenderedPageBreak/>
        <w:t>investigated</w:t>
      </w:r>
      <w:r w:rsidR="00A736FC">
        <w:t xml:space="preserve">. In addition, the DPC </w:t>
      </w:r>
      <w:r w:rsidR="00A736FC" w:rsidRPr="00A736FC">
        <w:t xml:space="preserve">cannot add new positions to its payroll without </w:t>
      </w:r>
      <w:r w:rsidR="00A60695">
        <w:t xml:space="preserve">multiple </w:t>
      </w:r>
      <w:r w:rsidR="00A736FC" w:rsidRPr="00A736FC">
        <w:t>approval</w:t>
      </w:r>
      <w:r w:rsidR="00A60695">
        <w:t>s</w:t>
      </w:r>
      <w:r w:rsidR="00A736FC" w:rsidRPr="00A736FC">
        <w:t xml:space="preserve"> in a 1.5-year</w:t>
      </w:r>
      <w:r w:rsidR="00A736FC">
        <w:t xml:space="preserve"> budget request</w:t>
      </w:r>
      <w:r w:rsidR="00A736FC" w:rsidRPr="00A736FC">
        <w:t xml:space="preserve"> process which involves a</w:t>
      </w:r>
      <w:r w:rsidR="00A736FC">
        <w:t>pproval by the state legislature</w:t>
      </w:r>
      <w:r w:rsidR="00A736FC" w:rsidRPr="00A736FC">
        <w:t>.</w:t>
      </w:r>
      <w:r w:rsidR="00A736FC">
        <w:t xml:space="preserve"> </w:t>
      </w:r>
      <w:r w:rsidR="00C36FB0">
        <w:t xml:space="preserve">If future requests to add more staff for the NHA are not approved, those decisions </w:t>
      </w:r>
      <w:r w:rsidR="00056E7C">
        <w:t xml:space="preserve">will </w:t>
      </w:r>
      <w:r w:rsidR="00C36FB0">
        <w:t xml:space="preserve">result in an NHA that stagnates or withers due to the inability to provide the necessary labor to meet the growing </w:t>
      </w:r>
      <w:r>
        <w:t xml:space="preserve">programmatic and project </w:t>
      </w:r>
      <w:r w:rsidR="00C36FB0">
        <w:t>demands and needs of the NHA.</w:t>
      </w:r>
    </w:p>
    <w:p w14:paraId="5E88D2B6" w14:textId="37DAE085" w:rsidR="00C36FB0" w:rsidRDefault="00C36FB0" w:rsidP="00E61F4E">
      <w:r>
        <w:t>Lastly</w:t>
      </w:r>
      <w:r w:rsidR="00785280">
        <w:t xml:space="preserve">, </w:t>
      </w:r>
      <w:r w:rsidR="00C571F8">
        <w:t xml:space="preserve">the </w:t>
      </w:r>
      <w:r>
        <w:t xml:space="preserve">DPC was created by the California State Legislature with a prescribed legislative purpose and intent, and the NHA comfortably fits into the DPC structure. However, </w:t>
      </w:r>
      <w:r w:rsidR="006A073F">
        <w:t xml:space="preserve">the business models of some other NHAs </w:t>
      </w:r>
      <w:r>
        <w:t>evolved and changed over time</w:t>
      </w:r>
      <w:r w:rsidR="005E099E">
        <w:t xml:space="preserve"> as outside factors or opportunities arose. There could come a day when the needs of the Sacramento-San Joaquin Delta NHA no longer fit into the </w:t>
      </w:r>
      <w:proofErr w:type="gramStart"/>
      <w:r w:rsidR="005E099E">
        <w:t>legislatively-mandated</w:t>
      </w:r>
      <w:proofErr w:type="gramEnd"/>
      <w:r w:rsidR="005E099E">
        <w:t xml:space="preserve"> structure of </w:t>
      </w:r>
      <w:r w:rsidR="00833FEA">
        <w:t xml:space="preserve">the </w:t>
      </w:r>
      <w:r w:rsidR="005E099E">
        <w:t>DPC</w:t>
      </w:r>
      <w:r w:rsidR="006A073F">
        <w:t>,</w:t>
      </w:r>
      <w:r w:rsidR="005E099E">
        <w:t xml:space="preserve"> and the solution could be to look to other partners to take on parts of the NHA's day-to-day work or </w:t>
      </w:r>
      <w:r w:rsidR="00A736FC">
        <w:t xml:space="preserve">to have another organization become the coordinating entity for </w:t>
      </w:r>
      <w:r w:rsidR="005E099E">
        <w:t>NHA.</w:t>
      </w:r>
    </w:p>
    <w:p w14:paraId="23DA7031" w14:textId="2D07CCC3" w:rsidR="005E099E" w:rsidRDefault="005E099E" w:rsidP="00E61F4E">
      <w:proofErr w:type="gramStart"/>
      <w:r>
        <w:t>All of</w:t>
      </w:r>
      <w:proofErr w:type="gramEnd"/>
      <w:r>
        <w:t xml:space="preserve"> these factors were considered and discussed during the management planning process, with the decision to keep the NHA housed within the Delta Protection Commission</w:t>
      </w:r>
      <w:r w:rsidR="006B0D95">
        <w:t xml:space="preserve"> at this stage </w:t>
      </w:r>
      <w:r w:rsidR="00430B13">
        <w:t>of</w:t>
      </w:r>
      <w:r w:rsidR="006B0D95">
        <w:t xml:space="preserve"> its development</w:t>
      </w:r>
      <w:r>
        <w:t xml:space="preserve">. As with any NHA's governing body, it will be important for </w:t>
      </w:r>
      <w:r w:rsidR="00497F13">
        <w:t xml:space="preserve">the </w:t>
      </w:r>
      <w:r>
        <w:t xml:space="preserve">DPC and the </w:t>
      </w:r>
      <w:r w:rsidR="00430B13">
        <w:t xml:space="preserve">future </w:t>
      </w:r>
      <w:r w:rsidR="00875736">
        <w:t xml:space="preserve">Community </w:t>
      </w:r>
      <w:r w:rsidR="00430B13">
        <w:t xml:space="preserve">Advisory </w:t>
      </w:r>
      <w:r w:rsidR="00497F13">
        <w:t>Committee</w:t>
      </w:r>
      <w:r>
        <w:t xml:space="preserve"> to continually monitor and evaluate the effectiveness and progress of the NHA to ensure that it </w:t>
      </w:r>
      <w:r w:rsidR="006B0D95">
        <w:t xml:space="preserve">remains </w:t>
      </w:r>
      <w:r>
        <w:t>capable of meeting the growing and evolving needs within the communities and heritage partnerships.</w:t>
      </w:r>
    </w:p>
    <w:p w14:paraId="74112DB8" w14:textId="6984FDCC" w:rsidR="005E099E" w:rsidRDefault="00497F13" w:rsidP="00E61F4E">
      <w:r>
        <w:t xml:space="preserve">Should a change in governance structure become expedient or necessary, </w:t>
      </w:r>
      <w:r w:rsidR="005E099E">
        <w:t>consideratio</w:t>
      </w:r>
      <w:r w:rsidR="00A668E5">
        <w:t>ns were also given to future coordinating entity options</w:t>
      </w:r>
      <w:r>
        <w:t>, described below</w:t>
      </w:r>
      <w:r w:rsidR="00A668E5">
        <w:t>.</w:t>
      </w:r>
      <w:r w:rsidR="005E099E">
        <w:t xml:space="preserve"> </w:t>
      </w:r>
    </w:p>
    <w:p w14:paraId="640FCCA8" w14:textId="0E226126" w:rsidR="007E624B" w:rsidRDefault="004523BF" w:rsidP="00E61F4E">
      <w:pPr>
        <w:pStyle w:val="Heading2"/>
      </w:pPr>
      <w:r>
        <w:t>California Joint Powers Authority</w:t>
      </w:r>
      <w:r w:rsidR="00A62611">
        <w:t xml:space="preserve"> to Manage</w:t>
      </w:r>
      <w:r w:rsidR="008E6EE8">
        <w:t xml:space="preserve"> the NHA</w:t>
      </w:r>
      <w:r w:rsidR="00A62611">
        <w:t xml:space="preserve"> </w:t>
      </w:r>
    </w:p>
    <w:p w14:paraId="4ACFB6A5" w14:textId="216EE33B" w:rsidR="00695FF3" w:rsidRDefault="004523BF" w:rsidP="00E61F4E">
      <w:r w:rsidRPr="004523BF">
        <w:t>A California Joint Powers Authority (JPA)</w:t>
      </w:r>
      <w:r w:rsidR="0072292A">
        <w:t xml:space="preserve"> </w:t>
      </w:r>
      <w:r w:rsidR="00497F13">
        <w:t>could</w:t>
      </w:r>
      <w:r w:rsidR="00497F13" w:rsidRPr="004523BF">
        <w:t xml:space="preserve"> </w:t>
      </w:r>
      <w:r w:rsidRPr="004523BF">
        <w:t>play a significant role in benefiting a National Heritage Area (NHA) in the state by enhancing coordination, resources, and governance for the preservation and promotion of cultural and historical assets. A Califor</w:t>
      </w:r>
      <w:r>
        <w:t>nia Joint Powers Authority</w:t>
      </w:r>
      <w:r w:rsidRPr="004523BF">
        <w:t xml:space="preserve"> is a legal entity created under California state law that allows two or more public agencies or entities to jointly exercise common powers and responsibilities for a specific purpose or project. JPA agreements are commonly used for collaboration, resource-sharing, and improved efficiency among public entities in the state. The specific powers and purposes of a JPA</w:t>
      </w:r>
      <w:r w:rsidR="00157A87">
        <w:t xml:space="preserve"> can </w:t>
      </w:r>
      <w:r w:rsidRPr="004523BF">
        <w:t>vary, but they typically involve areas such as public infrastructure, public services, resource management, and governance.</w:t>
      </w:r>
      <w:r w:rsidR="006B0D95">
        <w:t xml:space="preserve"> </w:t>
      </w:r>
    </w:p>
    <w:p w14:paraId="4E176A16" w14:textId="06EE6093" w:rsidR="004523BF" w:rsidRPr="004523BF" w:rsidRDefault="006B0D95" w:rsidP="00E61F4E">
      <w:r>
        <w:t>As described below, t</w:t>
      </w:r>
      <w:r w:rsidR="004523BF">
        <w:t>here are several ways a JPA could benefit the Sacramento-San Joaquin Delta</w:t>
      </w:r>
      <w:r w:rsidR="004523BF" w:rsidRPr="004523BF">
        <w:t xml:space="preserve"> N</w:t>
      </w:r>
      <w:r w:rsidR="004523BF">
        <w:t>HA</w:t>
      </w:r>
      <w:r>
        <w:t>.</w:t>
      </w:r>
    </w:p>
    <w:p w14:paraId="5DF45556" w14:textId="77777777" w:rsidR="007A055F" w:rsidRDefault="004523BF" w:rsidP="00E61F4E">
      <w:pPr>
        <w:pStyle w:val="Heading3"/>
      </w:pPr>
      <w:r w:rsidRPr="004523BF">
        <w:t>Increased Collaboration</w:t>
      </w:r>
    </w:p>
    <w:p w14:paraId="734DA714" w14:textId="5F14EEDB" w:rsidR="004523BF" w:rsidRPr="004523BF" w:rsidRDefault="004523BF" w:rsidP="00E61F4E">
      <w:r w:rsidRPr="004523BF">
        <w:t xml:space="preserve">A JPA brings together multiple local governments, agencies, and organizations to work collectively on a shared goal. In the case of an NHA, this means that </w:t>
      </w:r>
      <w:r w:rsidRPr="004523BF">
        <w:lastRenderedPageBreak/>
        <w:t xml:space="preserve">various stakeholders, such as counties, cities, state agencies, and nonprofit organizations, </w:t>
      </w:r>
      <w:r w:rsidR="00527F32">
        <w:t>could</w:t>
      </w:r>
      <w:r w:rsidR="00527F32" w:rsidRPr="004523BF">
        <w:t xml:space="preserve"> </w:t>
      </w:r>
      <w:r w:rsidRPr="004523BF">
        <w:t>collaborate more effectively to manage and protect heritage resources.</w:t>
      </w:r>
    </w:p>
    <w:p w14:paraId="546862B5" w14:textId="77777777" w:rsidR="007A055F" w:rsidRPr="001A2641" w:rsidRDefault="004523BF" w:rsidP="00E61F4E">
      <w:pPr>
        <w:pStyle w:val="Heading3"/>
      </w:pPr>
      <w:r w:rsidRPr="001A2641">
        <w:t>Pooling Resources</w:t>
      </w:r>
    </w:p>
    <w:p w14:paraId="44E07135" w14:textId="73B5041F" w:rsidR="004523BF" w:rsidRPr="004523BF" w:rsidRDefault="004523BF" w:rsidP="00E61F4E">
      <w:r w:rsidRPr="004523BF">
        <w:t xml:space="preserve">By pooling financial and personnel resources, a JPA </w:t>
      </w:r>
      <w:r w:rsidR="00527F32">
        <w:t>could</w:t>
      </w:r>
      <w:r w:rsidR="00527F32" w:rsidRPr="004523BF">
        <w:t xml:space="preserve"> </w:t>
      </w:r>
      <w:r w:rsidRPr="004523BF">
        <w:t xml:space="preserve">provide the NHA with more funding and staff. This additional support </w:t>
      </w:r>
      <w:r w:rsidR="00527F32">
        <w:t>could</w:t>
      </w:r>
      <w:r w:rsidR="00527F32" w:rsidRPr="004523BF">
        <w:t xml:space="preserve"> </w:t>
      </w:r>
      <w:r w:rsidRPr="004523BF">
        <w:t>be used to fund heritage preservation projects, public education and outreach, and improvements to infrastructure within the NHA.</w:t>
      </w:r>
    </w:p>
    <w:p w14:paraId="3D32A691" w14:textId="77777777" w:rsidR="007A055F" w:rsidRPr="001A2641" w:rsidRDefault="004523BF" w:rsidP="00E61F4E">
      <w:pPr>
        <w:pStyle w:val="Heading3"/>
      </w:pPr>
      <w:r w:rsidRPr="001A2641">
        <w:t>Streamlined Decision-Making</w:t>
      </w:r>
    </w:p>
    <w:p w14:paraId="1C189CE8" w14:textId="51E3B57A" w:rsidR="004523BF" w:rsidRPr="004523BF" w:rsidRDefault="004523BF" w:rsidP="00E61F4E">
      <w:r w:rsidRPr="004523BF">
        <w:t xml:space="preserve">A JPA typically has its own governing board or council made up of representatives from member entities. </w:t>
      </w:r>
      <w:r w:rsidR="00527F32">
        <w:t>Such a</w:t>
      </w:r>
      <w:r w:rsidR="00527F32" w:rsidRPr="004523BF">
        <w:t xml:space="preserve"> </w:t>
      </w:r>
      <w:r w:rsidRPr="004523BF">
        <w:t xml:space="preserve">board </w:t>
      </w:r>
      <w:r w:rsidR="00527F32">
        <w:t>could</w:t>
      </w:r>
      <w:r w:rsidR="00527F32" w:rsidRPr="004523BF">
        <w:t xml:space="preserve"> </w:t>
      </w:r>
      <w:r w:rsidRPr="004523BF">
        <w:t>streamline decision-making, as it</w:t>
      </w:r>
      <w:r w:rsidR="006B0D95">
        <w:t xml:space="preserve"> i</w:t>
      </w:r>
      <w:r w:rsidRPr="004523BF">
        <w:t>s</w:t>
      </w:r>
      <w:r w:rsidR="0072292A">
        <w:t xml:space="preserve"> </w:t>
      </w:r>
      <w:r w:rsidRPr="004523BF">
        <w:t>dedicated solely to the NHA's objectives, rather than juggling multiple priorities, which can be the case when various agencies are involved.</w:t>
      </w:r>
    </w:p>
    <w:p w14:paraId="569E5D31" w14:textId="77777777" w:rsidR="007A055F" w:rsidRPr="001A2641" w:rsidRDefault="004523BF" w:rsidP="00E61F4E">
      <w:pPr>
        <w:pStyle w:val="Heading3"/>
      </w:pPr>
      <w:r w:rsidRPr="001A2641">
        <w:t>Uniform Regulations and Policies</w:t>
      </w:r>
    </w:p>
    <w:p w14:paraId="25A1DA60" w14:textId="49E88C96" w:rsidR="004523BF" w:rsidRPr="004523BF" w:rsidRDefault="00527F32" w:rsidP="00E61F4E">
      <w:r>
        <w:t xml:space="preserve">A </w:t>
      </w:r>
      <w:r w:rsidR="004523BF" w:rsidRPr="004523BF">
        <w:t>JPA</w:t>
      </w:r>
      <w:r w:rsidR="00F60B6F">
        <w:t xml:space="preserve"> </w:t>
      </w:r>
      <w:r>
        <w:t>could</w:t>
      </w:r>
      <w:r w:rsidRPr="004523BF">
        <w:t xml:space="preserve"> </w:t>
      </w:r>
      <w:r w:rsidR="004523BF" w:rsidRPr="004523BF">
        <w:t xml:space="preserve">help </w:t>
      </w:r>
      <w:r w:rsidR="00056E7C">
        <w:t>address conflicts in</w:t>
      </w:r>
      <w:r w:rsidR="0072292A">
        <w:t xml:space="preserve"> </w:t>
      </w:r>
      <w:r w:rsidR="004523BF" w:rsidRPr="004523BF">
        <w:t>regulations and policies related to heritage conservation within the NHA. This ensures consistency in how historical sites and cultural assets are managed, preserved, and made accessible to the public.</w:t>
      </w:r>
    </w:p>
    <w:p w14:paraId="6B8A4A89" w14:textId="3719ECC4" w:rsidR="007A055F" w:rsidRPr="001A2641" w:rsidRDefault="004523BF" w:rsidP="00E61F4E">
      <w:pPr>
        <w:pStyle w:val="Heading3"/>
      </w:pPr>
      <w:r w:rsidRPr="001A2641">
        <w:t>Increased Advocacy</w:t>
      </w:r>
    </w:p>
    <w:p w14:paraId="2B355F9B" w14:textId="2E3781EE" w:rsidR="004523BF" w:rsidRPr="004523BF" w:rsidRDefault="004523BF" w:rsidP="00E61F4E">
      <w:r w:rsidRPr="004523BF">
        <w:t>A JPA</w:t>
      </w:r>
      <w:r w:rsidR="00F60B6F">
        <w:t xml:space="preserve"> </w:t>
      </w:r>
      <w:r w:rsidR="00527F32">
        <w:t>could</w:t>
      </w:r>
      <w:r w:rsidR="00527F32" w:rsidRPr="004523BF">
        <w:t xml:space="preserve"> </w:t>
      </w:r>
      <w:r w:rsidRPr="004523BF">
        <w:t>engage in advocacy efforts at the state and federal levels to secure additional resources and support for the NHA. This</w:t>
      </w:r>
      <w:r w:rsidR="00F60B6F">
        <w:t xml:space="preserve"> </w:t>
      </w:r>
      <w:r w:rsidR="00527F32">
        <w:t>could</w:t>
      </w:r>
      <w:r w:rsidR="00527F32" w:rsidRPr="004523BF">
        <w:t xml:space="preserve"> </w:t>
      </w:r>
      <w:r w:rsidRPr="004523BF">
        <w:t>lead to more funding opportunities and the ability to influence legislation beneficial to the NHA.</w:t>
      </w:r>
      <w:r w:rsidR="00937358">
        <w:t xml:space="preserve"> Adhering to federal law, the DPC and the JPA would not use any Heritage Partnership Funds or any other funding</w:t>
      </w:r>
      <w:r w:rsidR="00497F13">
        <w:t xml:space="preserve"> </w:t>
      </w:r>
      <w:r w:rsidR="00937358">
        <w:t xml:space="preserve">prohibiting direct lobbying and advocacy. Nevertheless, as a state agency, </w:t>
      </w:r>
      <w:r w:rsidR="00497F13">
        <w:t xml:space="preserve">the </w:t>
      </w:r>
      <w:r w:rsidR="00937358">
        <w:t xml:space="preserve">DPC would need to advocate to the California State Legislature and the Governor for its annual state </w:t>
      </w:r>
      <w:r w:rsidR="00217746">
        <w:t>budget that</w:t>
      </w:r>
      <w:r w:rsidR="00937358">
        <w:t xml:space="preserve"> supports the NHA. </w:t>
      </w:r>
    </w:p>
    <w:p w14:paraId="52312F0F" w14:textId="77777777" w:rsidR="007A055F" w:rsidRPr="001A2641" w:rsidRDefault="004523BF" w:rsidP="00E61F4E">
      <w:pPr>
        <w:pStyle w:val="Heading3"/>
      </w:pPr>
      <w:r w:rsidRPr="001A2641">
        <w:t>Economies of Scale</w:t>
      </w:r>
    </w:p>
    <w:p w14:paraId="07A9190C" w14:textId="02C3295E" w:rsidR="004523BF" w:rsidRPr="004523BF" w:rsidRDefault="00C51920" w:rsidP="00E61F4E">
      <w:r>
        <w:t xml:space="preserve">The future management of the Sacramento-San Joaquin Delta NHA could benefit </w:t>
      </w:r>
      <w:r w:rsidR="00443D65">
        <w:t>from</w:t>
      </w:r>
      <w:r>
        <w:t xml:space="preserve"> a JPA</w:t>
      </w:r>
      <w:r w:rsidR="00497F13">
        <w:t>,</w:t>
      </w:r>
      <w:r>
        <w:t xml:space="preserve"> and</w:t>
      </w:r>
      <w:r w:rsidR="004523BF" w:rsidRPr="004523BF">
        <w:t xml:space="preserve"> there are economies of scale that </w:t>
      </w:r>
      <w:r w:rsidR="006B0D95">
        <w:t>could</w:t>
      </w:r>
      <w:r w:rsidR="006B0D95" w:rsidRPr="004523BF">
        <w:t xml:space="preserve"> </w:t>
      </w:r>
      <w:r>
        <w:t>be realized</w:t>
      </w:r>
      <w:r w:rsidR="004523BF" w:rsidRPr="004523BF">
        <w:t xml:space="preserve">. Purchasing equipment, securing insurance, or implementing marketing campaigns </w:t>
      </w:r>
      <w:r w:rsidR="00527F32">
        <w:t>could</w:t>
      </w:r>
      <w:r w:rsidR="00527F32" w:rsidRPr="004523BF">
        <w:t xml:space="preserve"> </w:t>
      </w:r>
      <w:r w:rsidR="004523BF" w:rsidRPr="004523BF">
        <w:t>be more cost-effective when done collectively.</w:t>
      </w:r>
    </w:p>
    <w:p w14:paraId="3363F870" w14:textId="77777777" w:rsidR="007A055F" w:rsidRPr="001A2641" w:rsidRDefault="004523BF" w:rsidP="00E61F4E">
      <w:pPr>
        <w:pStyle w:val="Heading3"/>
      </w:pPr>
      <w:r w:rsidRPr="001A2641">
        <w:t>Enhanced Public Engagement</w:t>
      </w:r>
    </w:p>
    <w:p w14:paraId="4F34545E" w14:textId="530ED4AB" w:rsidR="004523BF" w:rsidRPr="004523BF" w:rsidRDefault="004523BF" w:rsidP="00E61F4E">
      <w:r w:rsidRPr="004523BF">
        <w:t xml:space="preserve">The collaborative nature of a JPA </w:t>
      </w:r>
      <w:r w:rsidR="00527F32">
        <w:t>could</w:t>
      </w:r>
      <w:r w:rsidR="00527F32" w:rsidRPr="004523BF">
        <w:t xml:space="preserve"> </w:t>
      </w:r>
      <w:r w:rsidRPr="004523BF">
        <w:t xml:space="preserve">help increase public engagement and involvement in the NHA. By working together, the JPA and its members </w:t>
      </w:r>
      <w:r w:rsidR="00527F32">
        <w:t>could</w:t>
      </w:r>
      <w:r w:rsidR="00527F32" w:rsidRPr="004523BF">
        <w:t xml:space="preserve"> </w:t>
      </w:r>
      <w:r w:rsidRPr="004523BF">
        <w:t>organize events, educational programs, and outreach efforts to raise awareness and app</w:t>
      </w:r>
      <w:r>
        <w:t xml:space="preserve">reciation of the </w:t>
      </w:r>
      <w:r w:rsidR="006B0D95">
        <w:t>National Heritage Area</w:t>
      </w:r>
      <w:r>
        <w:t>.</w:t>
      </w:r>
    </w:p>
    <w:p w14:paraId="60629EB5" w14:textId="77777777" w:rsidR="007A055F" w:rsidRPr="001A2641" w:rsidRDefault="004523BF" w:rsidP="00E61F4E">
      <w:pPr>
        <w:pStyle w:val="Heading3"/>
      </w:pPr>
      <w:r w:rsidRPr="001A2641">
        <w:t>Long-Term Sustainability</w:t>
      </w:r>
    </w:p>
    <w:p w14:paraId="25958500" w14:textId="1B2D8341" w:rsidR="004523BF" w:rsidRPr="004523BF" w:rsidRDefault="004523BF" w:rsidP="00E61F4E">
      <w:r w:rsidRPr="004523BF">
        <w:t>A JPA</w:t>
      </w:r>
      <w:r w:rsidR="00F60B6F">
        <w:t xml:space="preserve"> </w:t>
      </w:r>
      <w:r w:rsidR="00527F32">
        <w:t>could</w:t>
      </w:r>
      <w:r w:rsidR="00527F32" w:rsidRPr="004523BF">
        <w:t xml:space="preserve"> </w:t>
      </w:r>
      <w:r w:rsidRPr="004523BF">
        <w:t>provide the NHA with a more sustainable governance structure. It</w:t>
      </w:r>
      <w:r w:rsidR="00F60B6F">
        <w:t xml:space="preserve"> </w:t>
      </w:r>
      <w:r w:rsidR="00527F32">
        <w:t>could</w:t>
      </w:r>
      <w:r w:rsidR="00527F32" w:rsidRPr="004523BF">
        <w:t xml:space="preserve"> </w:t>
      </w:r>
      <w:r w:rsidRPr="004523BF">
        <w:t xml:space="preserve">help ensure that there is continued support and commitment to heritage </w:t>
      </w:r>
      <w:r w:rsidRPr="004523BF">
        <w:lastRenderedPageBreak/>
        <w:t>preservation over the long term, even as individual member entities may change leadership or priorities.</w:t>
      </w:r>
    </w:p>
    <w:p w14:paraId="36446418" w14:textId="77777777" w:rsidR="007A055F" w:rsidRDefault="004523BF" w:rsidP="00E61F4E">
      <w:pPr>
        <w:pStyle w:val="Heading3"/>
      </w:pPr>
      <w:r w:rsidRPr="004523BF">
        <w:t>Improved Accountability</w:t>
      </w:r>
    </w:p>
    <w:p w14:paraId="72014CB2" w14:textId="426BC700" w:rsidR="004523BF" w:rsidRPr="004523BF" w:rsidRDefault="004523BF" w:rsidP="00E61F4E">
      <w:r w:rsidRPr="004523BF">
        <w:t xml:space="preserve">The governing board of the JPA </w:t>
      </w:r>
      <w:r w:rsidR="00527F32">
        <w:t>could</w:t>
      </w:r>
      <w:r w:rsidR="00527F32" w:rsidRPr="004523BF">
        <w:t xml:space="preserve"> </w:t>
      </w:r>
      <w:r w:rsidRPr="004523BF">
        <w:t xml:space="preserve">hold member entities accountable for their contributions and responsibilities within the NHA. This accountability ensures that everyone involved is actively working toward the shared goals of the </w:t>
      </w:r>
      <w:r w:rsidR="006B0D95">
        <w:t>National Heritage Area</w:t>
      </w:r>
      <w:r w:rsidRPr="004523BF">
        <w:t>.</w:t>
      </w:r>
    </w:p>
    <w:p w14:paraId="27804007" w14:textId="55D17D18" w:rsidR="00602E87" w:rsidRPr="00602E87" w:rsidRDefault="00695FF3" w:rsidP="00E61F4E">
      <w:r>
        <w:t>While a</w:t>
      </w:r>
      <w:r w:rsidR="00602E87">
        <w:t xml:space="preserve"> </w:t>
      </w:r>
      <w:r w:rsidR="004523BF" w:rsidRPr="004523BF">
        <w:t xml:space="preserve">California Joint Powers Authority </w:t>
      </w:r>
      <w:r w:rsidR="00602E87">
        <w:t>could</w:t>
      </w:r>
      <w:r w:rsidR="004523BF" w:rsidRPr="004523BF">
        <w:t xml:space="preserve"> benefit</w:t>
      </w:r>
      <w:r w:rsidR="00602E87">
        <w:t xml:space="preserve"> the</w:t>
      </w:r>
      <w:r w:rsidR="00F60B6F">
        <w:t xml:space="preserve"> </w:t>
      </w:r>
      <w:r w:rsidR="004523BF" w:rsidRPr="004523BF">
        <w:t xml:space="preserve">National </w:t>
      </w:r>
      <w:r>
        <w:t xml:space="preserve">Heritage Area, </w:t>
      </w:r>
      <w:r w:rsidR="00602E87">
        <w:t xml:space="preserve">a JPA can </w:t>
      </w:r>
      <w:r w:rsidR="00602E87" w:rsidRPr="00602E87">
        <w:t>also have some disadvantages. These disadvantages can include:</w:t>
      </w:r>
    </w:p>
    <w:p w14:paraId="7C449FBC" w14:textId="77777777" w:rsidR="00602E87" w:rsidRDefault="00602E87" w:rsidP="00E61F4E">
      <w:pPr>
        <w:pStyle w:val="Heading3"/>
      </w:pPr>
      <w:r>
        <w:t>Complexity</w:t>
      </w:r>
    </w:p>
    <w:p w14:paraId="7E251F2F" w14:textId="5E1C3C5D" w:rsidR="00602E87" w:rsidRPr="00602E87" w:rsidRDefault="00602E87" w:rsidP="00E61F4E">
      <w:r w:rsidRPr="00602E87">
        <w:t>Creating and managing a JPA can be a complex and time-consuming process, involving legal agreements, governance structures, and administrative tasks. This complexity can be a disadvantage, particularly for smaller agencies with limited resources.</w:t>
      </w:r>
    </w:p>
    <w:p w14:paraId="2193DFA3" w14:textId="77777777" w:rsidR="00602E87" w:rsidRDefault="00602E87" w:rsidP="00E61F4E">
      <w:pPr>
        <w:pStyle w:val="Heading3"/>
      </w:pPr>
      <w:r>
        <w:t>Administrative Overhead</w:t>
      </w:r>
    </w:p>
    <w:p w14:paraId="712A5BB0" w14:textId="12C4CE21" w:rsidR="00602E87" w:rsidRPr="00602E87" w:rsidRDefault="00602E87" w:rsidP="00E61F4E">
      <w:r>
        <w:t>J</w:t>
      </w:r>
      <w:r w:rsidRPr="00602E87">
        <w:t>PAs often require administrative overhead to manage day-to-day opera</w:t>
      </w:r>
      <w:r>
        <w:t xml:space="preserve">tions, which can increase costs staffing and operational costs of the NHA </w:t>
      </w:r>
      <w:r w:rsidRPr="00602E87">
        <w:t xml:space="preserve">and divert resources from </w:t>
      </w:r>
      <w:r>
        <w:t>the c</w:t>
      </w:r>
      <w:r w:rsidRPr="00602E87">
        <w:t>ore functions.</w:t>
      </w:r>
    </w:p>
    <w:p w14:paraId="141EA327" w14:textId="77777777" w:rsidR="00602E87" w:rsidRDefault="00602E87" w:rsidP="00E61F4E">
      <w:pPr>
        <w:pStyle w:val="Heading3"/>
      </w:pPr>
      <w:r>
        <w:t>Loss of Local Control</w:t>
      </w:r>
    </w:p>
    <w:p w14:paraId="010C5478" w14:textId="36AF193F" w:rsidR="00602E87" w:rsidRPr="00602E87" w:rsidRDefault="00602E87" w:rsidP="00E61F4E">
      <w:r w:rsidRPr="00602E87">
        <w:t>Member agencies that join a JPA may have to cede some degree of local control to the JPA's g</w:t>
      </w:r>
      <w:r w:rsidR="002261CC">
        <w:t xml:space="preserve">overning board, which can be a </w:t>
      </w:r>
      <w:r w:rsidRPr="00602E87">
        <w:t>disadvantage for those who want to maintain a higher level of autonomy.</w:t>
      </w:r>
    </w:p>
    <w:p w14:paraId="204885CA" w14:textId="77777777" w:rsidR="00602E87" w:rsidRDefault="00602E87" w:rsidP="00E61F4E">
      <w:pPr>
        <w:pStyle w:val="Heading3"/>
      </w:pPr>
      <w:r>
        <w:t>Funding and Budget Issues</w:t>
      </w:r>
    </w:p>
    <w:p w14:paraId="511137DD" w14:textId="6984A205" w:rsidR="00602E87" w:rsidRPr="00602E87" w:rsidRDefault="00602E87" w:rsidP="00E61F4E">
      <w:r w:rsidRPr="00602E87">
        <w:t>Allocating and managing funds within a JPA can be challenging, as member agencies may have different priorities and financial constraints. Disagreements over funding can lead to disputes and hinder project implementation.</w:t>
      </w:r>
    </w:p>
    <w:p w14:paraId="78654B9D" w14:textId="77777777" w:rsidR="00602E87" w:rsidRDefault="00602E87" w:rsidP="00E61F4E">
      <w:pPr>
        <w:pStyle w:val="Heading3"/>
      </w:pPr>
      <w:r w:rsidRPr="00602E87">
        <w:t>A</w:t>
      </w:r>
      <w:r>
        <w:t>ccountability and Transparency</w:t>
      </w:r>
    </w:p>
    <w:p w14:paraId="1C9902F0" w14:textId="5419E91E" w:rsidR="00602E87" w:rsidRPr="00602E87" w:rsidRDefault="00602E87" w:rsidP="00E61F4E">
      <w:r w:rsidRPr="00602E87">
        <w:t xml:space="preserve">Some JPAs may face issues related to accountability and transparency. They may not be subject to the same level of public oversight as standalone government agencies, which can raise concerns about how decisions are </w:t>
      </w:r>
      <w:r w:rsidR="00833FEA" w:rsidRPr="00602E87">
        <w:t>made,</w:t>
      </w:r>
      <w:r w:rsidRPr="00602E87">
        <w:t xml:space="preserve"> and taxpayer dollars are spent.</w:t>
      </w:r>
    </w:p>
    <w:p w14:paraId="607C19BA" w14:textId="77777777" w:rsidR="00602E87" w:rsidRDefault="00602E87" w:rsidP="00E61F4E">
      <w:pPr>
        <w:pStyle w:val="Heading3"/>
      </w:pPr>
      <w:r>
        <w:t>Limited Scope</w:t>
      </w:r>
    </w:p>
    <w:p w14:paraId="35127479" w14:textId="4702FAE4" w:rsidR="00602E87" w:rsidRPr="00602E87" w:rsidRDefault="00602E87" w:rsidP="00E61F4E">
      <w:r w:rsidRPr="00602E87">
        <w:t>JPAs are typically formed for specific purposes, and their scope is limited to the purposes defined in their agreements. This limitation can make it challenging to address broader issues</w:t>
      </w:r>
      <w:r>
        <w:t xml:space="preserve"> of the NHA</w:t>
      </w:r>
      <w:r w:rsidRPr="00602E87">
        <w:t xml:space="preserve"> or adapt to changing circumstances.</w:t>
      </w:r>
    </w:p>
    <w:p w14:paraId="793FB9A6" w14:textId="77777777" w:rsidR="00602E87" w:rsidRDefault="00602E87" w:rsidP="00E61F4E">
      <w:pPr>
        <w:pStyle w:val="Heading3"/>
      </w:pPr>
      <w:r>
        <w:lastRenderedPageBreak/>
        <w:t>Potential for Conflicts</w:t>
      </w:r>
    </w:p>
    <w:p w14:paraId="200B2425" w14:textId="5973C681" w:rsidR="00602E87" w:rsidRPr="00602E87" w:rsidRDefault="00602E87" w:rsidP="00E61F4E">
      <w:r w:rsidRPr="00602E87">
        <w:t>Differences in priorities and objectives among member agencies can lead to c</w:t>
      </w:r>
      <w:r>
        <w:t xml:space="preserve">onflicts within the JPA, which could cause </w:t>
      </w:r>
      <w:r w:rsidRPr="00602E87">
        <w:t>deci</w:t>
      </w:r>
      <w:r>
        <w:t>sion-making and cooperation to become</w:t>
      </w:r>
      <w:r w:rsidRPr="00602E87">
        <w:t xml:space="preserve"> challenging.</w:t>
      </w:r>
    </w:p>
    <w:p w14:paraId="5948CF96" w14:textId="77777777" w:rsidR="00602E87" w:rsidRDefault="00602E87" w:rsidP="00E61F4E">
      <w:pPr>
        <w:pStyle w:val="Heading3"/>
      </w:pPr>
      <w:r>
        <w:t>Long-Term Commitment</w:t>
      </w:r>
    </w:p>
    <w:p w14:paraId="66765F47" w14:textId="44891072" w:rsidR="00602E87" w:rsidRPr="00602E87" w:rsidRDefault="00602E87" w:rsidP="00E61F4E">
      <w:r w:rsidRPr="00602E87">
        <w:t>Joining a JPA often involves a long-term commitment, and it may be difficult for agencies to withdraw from the partnership if it no longer serves their interests.</w:t>
      </w:r>
    </w:p>
    <w:p w14:paraId="44ACE8A0" w14:textId="77777777" w:rsidR="00602E87" w:rsidRDefault="00602E87" w:rsidP="00E61F4E">
      <w:pPr>
        <w:pStyle w:val="Heading3"/>
      </w:pPr>
      <w:r w:rsidRPr="00602E87">
        <w:t>L</w:t>
      </w:r>
      <w:r>
        <w:t>egal and Regulatory Compliance</w:t>
      </w:r>
    </w:p>
    <w:p w14:paraId="66321DB4" w14:textId="038FF4BF" w:rsidR="00602E87" w:rsidRPr="00602E87" w:rsidRDefault="00602E87" w:rsidP="00E61F4E">
      <w:r w:rsidRPr="00602E87">
        <w:t>JPAs must comply with various legal and regulatory requirements, which can be burdensome and require legal expertise.</w:t>
      </w:r>
    </w:p>
    <w:p w14:paraId="0DD9ED92" w14:textId="77777777" w:rsidR="00602E87" w:rsidRDefault="00602E87" w:rsidP="00E61F4E">
      <w:pPr>
        <w:pStyle w:val="Heading3"/>
      </w:pPr>
      <w:r>
        <w:t>Risk of Dissolution</w:t>
      </w:r>
    </w:p>
    <w:p w14:paraId="2BAA6659" w14:textId="3DF22749" w:rsidR="00602E87" w:rsidRPr="00602E87" w:rsidRDefault="00602E87" w:rsidP="00E61F4E">
      <w:r w:rsidRPr="00602E87">
        <w:t>JPAs can be dissolved if member agencies decide to terminate the partnership. Dissolution can be a disruptive process, especially if there are disagreements among the members.</w:t>
      </w:r>
    </w:p>
    <w:p w14:paraId="75FDC703" w14:textId="497F40ED" w:rsidR="00184878" w:rsidRDefault="008E6EE8" w:rsidP="00E61F4E">
      <w:r>
        <w:t xml:space="preserve">Therefore, if future consideration is given to </w:t>
      </w:r>
      <w:r w:rsidR="00602E87">
        <w:t>the</w:t>
      </w:r>
      <w:r w:rsidR="00602E87" w:rsidRPr="00602E87">
        <w:t xml:space="preserve"> form</w:t>
      </w:r>
      <w:r w:rsidR="00602E87">
        <w:t xml:space="preserve">ation of a JPA, the DPC and its partners should </w:t>
      </w:r>
      <w:r w:rsidR="00602E87" w:rsidRPr="00602E87">
        <w:t xml:space="preserve">carefully weigh the advantages and disadvantages and conduct thorough planning to mitigate potential issues. </w:t>
      </w:r>
    </w:p>
    <w:p w14:paraId="31EA9266" w14:textId="5B652D68" w:rsidR="008E6EE8" w:rsidRDefault="008E6EE8" w:rsidP="00E61F4E">
      <w:pPr>
        <w:pStyle w:val="Heading2"/>
      </w:pPr>
      <w:r>
        <w:t xml:space="preserve">Contracting with Partners to Manage </w:t>
      </w:r>
      <w:r w:rsidRPr="008E6EE8">
        <w:t>Specific Elements/Programs of the NHA</w:t>
      </w:r>
    </w:p>
    <w:p w14:paraId="1E0C246D" w14:textId="16BA7877" w:rsidR="008E6EE8" w:rsidRPr="00544CF3" w:rsidRDefault="008E6EE8" w:rsidP="00E61F4E">
      <w:r>
        <w:t xml:space="preserve">Throughout the Sacramento-San Joaquin Delta region, many organizations already exist </w:t>
      </w:r>
      <w:r w:rsidR="00544CF3">
        <w:t>that</w:t>
      </w:r>
      <w:r>
        <w:t xml:space="preserve"> conduct work </w:t>
      </w:r>
      <w:proofErr w:type="gramStart"/>
      <w:r>
        <w:t>on a daily basis</w:t>
      </w:r>
      <w:proofErr w:type="gramEnd"/>
      <w:r>
        <w:t xml:space="preserve"> that advance</w:t>
      </w:r>
      <w:r w:rsidR="00DE657F">
        <w:t>s</w:t>
      </w:r>
      <w:r>
        <w:t xml:space="preserve"> the goals of the NHA.</w:t>
      </w:r>
      <w:r w:rsidR="00544CF3">
        <w:t xml:space="preserve"> The DPC can benefit from contracting with other organizations to manage programs and projects in the</w:t>
      </w:r>
      <w:r w:rsidR="00544CF3" w:rsidRPr="00544CF3">
        <w:t xml:space="preserve"> Sacramento-San Joaquin Delta NHA</w:t>
      </w:r>
      <w:r w:rsidR="00544CF3">
        <w:t xml:space="preserve"> by leveraging the specialized expertise and resources of these partners. Established properly, this collaboration would allow for the efficient allocation of funds and personnel, ensuring that NHA's initiatives are effectively implemented. In addition, contracting with other organizations to conduct work also fosters community engagement and advanc</w:t>
      </w:r>
      <w:r w:rsidR="00017B81">
        <w:t>es</w:t>
      </w:r>
      <w:r w:rsidR="00544CF3">
        <w:t xml:space="preserve"> shared responsibility, creating a broader network of support for conserving, protecting, promoting, an</w:t>
      </w:r>
      <w:r w:rsidR="006E44D7">
        <w:t>d</w:t>
      </w:r>
      <w:r w:rsidR="00544CF3">
        <w:t xml:space="preserve"> enhancing the NHA's heritage resources.</w:t>
      </w:r>
    </w:p>
    <w:p w14:paraId="7D3FAAED" w14:textId="050E3EDC" w:rsidR="00E678BA" w:rsidRPr="00F60B6F" w:rsidRDefault="00E678BA" w:rsidP="00E61F4E">
      <w:pPr>
        <w:pStyle w:val="Heading1"/>
      </w:pPr>
      <w:r w:rsidRPr="00F60B6F">
        <w:t>Management and Organization Objectives</w:t>
      </w:r>
    </w:p>
    <w:p w14:paraId="675FD0A9" w14:textId="5D2CD919" w:rsidR="00F51755" w:rsidRPr="00EB258A" w:rsidRDefault="005F6EFA" w:rsidP="00E61F4E">
      <w:pPr>
        <w:pStyle w:val="Heading2"/>
      </w:pPr>
      <w:r>
        <w:t xml:space="preserve">Objective </w:t>
      </w:r>
      <w:r w:rsidR="00E678BA" w:rsidRPr="00F60B6F">
        <w:t>5.1</w:t>
      </w:r>
      <w:r w:rsidR="008C4B76" w:rsidRPr="00F60B6F">
        <w:t xml:space="preserve"> Manage the Sacramento-San Joaquin Delta NHA </w:t>
      </w:r>
      <w:r w:rsidR="00F51755" w:rsidRPr="00EB258A">
        <w:t>to Provide Dir</w:t>
      </w:r>
      <w:r w:rsidR="008C4B76" w:rsidRPr="00F60B6F">
        <w:t xml:space="preserve">ect Service Programs and </w:t>
      </w:r>
      <w:r w:rsidR="00F51755" w:rsidRPr="00EB258A">
        <w:t>Leadership for Partner Initiatives</w:t>
      </w:r>
    </w:p>
    <w:p w14:paraId="6E41B0DD" w14:textId="3EEF0764" w:rsidR="00116C0D" w:rsidRPr="005F6EFA" w:rsidRDefault="005F6EFA" w:rsidP="00E61F4E">
      <w:pPr>
        <w:pStyle w:val="Heading3"/>
      </w:pPr>
      <w:r w:rsidRPr="005F6EFA">
        <w:t xml:space="preserve">Strategy </w:t>
      </w:r>
      <w:r w:rsidR="00E678BA" w:rsidRPr="000C4820">
        <w:t>5.1.1</w:t>
      </w:r>
      <w:r w:rsidR="008C4B76" w:rsidRPr="000C4820">
        <w:t xml:space="preserve"> The Delta Protection Commission supports the NHA </w:t>
      </w:r>
      <w:r w:rsidR="00F51755" w:rsidRPr="005F6EFA">
        <w:t>partnership network</w:t>
      </w:r>
    </w:p>
    <w:p w14:paraId="5DDC45DA" w14:textId="6127D274" w:rsidR="00527F32" w:rsidRDefault="00527F32" w:rsidP="00E61F4E">
      <w:r>
        <w:t xml:space="preserve">The Sacramento-San Joaquin Delta NHA partnership network will be supported by the Delta Protection Commission staff in </w:t>
      </w:r>
      <w:proofErr w:type="gramStart"/>
      <w:r>
        <w:t>a number of</w:t>
      </w:r>
      <w:proofErr w:type="gramEnd"/>
      <w:r>
        <w:t xml:space="preserve"> ways.</w:t>
      </w:r>
    </w:p>
    <w:p w14:paraId="327B5E73" w14:textId="77777777" w:rsidR="00527F32" w:rsidRDefault="00116C0D" w:rsidP="00E61F4E">
      <w:pPr>
        <w:pStyle w:val="Heading4"/>
      </w:pPr>
      <w:r>
        <w:lastRenderedPageBreak/>
        <w:t>Continue to Ac</w:t>
      </w:r>
      <w:r w:rsidR="00F51755" w:rsidRPr="00F51755">
        <w:t>t as a Convener</w:t>
      </w:r>
    </w:p>
    <w:p w14:paraId="3BF8FB1D" w14:textId="4A27A5BC" w:rsidR="00F51755" w:rsidRPr="00F51755" w:rsidRDefault="008C4B76" w:rsidP="00E61F4E">
      <w:r>
        <w:t xml:space="preserve">Throughout the management planning process, the Delta Protection Commission's work coordinating partners, governments, and other state agencies proved to be beneficial to both the planning process and the heritage network overall. </w:t>
      </w:r>
      <w:r w:rsidR="00116C0D">
        <w:t>The DPC acts</w:t>
      </w:r>
      <w:r w:rsidR="00017B81">
        <w:t xml:space="preserve"> as a convener</w:t>
      </w:r>
      <w:r w:rsidR="00F60B6F">
        <w:t xml:space="preserve"> </w:t>
      </w:r>
      <w:r w:rsidR="00116C0D">
        <w:t xml:space="preserve">by </w:t>
      </w:r>
      <w:r w:rsidR="00EA60A8">
        <w:t>planning and hosting</w:t>
      </w:r>
      <w:r w:rsidR="00116C0D">
        <w:t xml:space="preserve"> the </w:t>
      </w:r>
      <w:r w:rsidR="00017B81">
        <w:t xml:space="preserve">annual </w:t>
      </w:r>
      <w:r w:rsidR="00116C0D">
        <w:t xml:space="preserve">Delta Heritage Forum, </w:t>
      </w:r>
      <w:r w:rsidR="00116C0D" w:rsidRPr="00116C0D">
        <w:t>an event that brings together potential partners to share stories about the history and culture of the Sacramento-San Joaquin Delta National Heritage Area</w:t>
      </w:r>
      <w:r w:rsidR="00116C0D">
        <w:t>. The continuation of convening partners is important to the NHA in the heritage partnership's ongoing responsibilities to advance the NHA.</w:t>
      </w:r>
    </w:p>
    <w:p w14:paraId="4CC56C9F" w14:textId="77777777" w:rsidR="00527F32" w:rsidRDefault="00F51755" w:rsidP="00E61F4E">
      <w:pPr>
        <w:pStyle w:val="Heading4"/>
      </w:pPr>
      <w:r w:rsidRPr="00F51755">
        <w:t>Develop an Information Clearinghouse</w:t>
      </w:r>
    </w:p>
    <w:p w14:paraId="59C6522A" w14:textId="518A78CD" w:rsidR="00F51755" w:rsidRPr="00F51755" w:rsidRDefault="00116C0D" w:rsidP="00E61F4E">
      <w:r>
        <w:t xml:space="preserve">Developing </w:t>
      </w:r>
      <w:r w:rsidRPr="00116C0D">
        <w:t xml:space="preserve">an </w:t>
      </w:r>
      <w:r w:rsidR="00017B81">
        <w:t xml:space="preserve">online </w:t>
      </w:r>
      <w:r w:rsidRPr="00116C0D">
        <w:t>information cl</w:t>
      </w:r>
      <w:r>
        <w:t xml:space="preserve">earinghouse is essential for a </w:t>
      </w:r>
      <w:r w:rsidR="00527F32">
        <w:t>National Heritage Area</w:t>
      </w:r>
      <w:r w:rsidRPr="00116C0D">
        <w:t xml:space="preserve"> coordinating entity because it allows for the centralized collection and dissemination of critical data, resources, and best practices, facilitating effective collaboration among diverse stakeholders involved in heritage preservation and development initiatives within the designated region. This role enables streamlined communication and informed decision-making, ultimately enhancing the efficiency and impact of heritage conservation efforts.</w:t>
      </w:r>
    </w:p>
    <w:p w14:paraId="4439C491" w14:textId="77777777" w:rsidR="00527F32" w:rsidRDefault="00F51755" w:rsidP="00E61F4E">
      <w:pPr>
        <w:pStyle w:val="Heading4"/>
      </w:pPr>
      <w:r w:rsidRPr="00E678BA">
        <w:t>Provide Technical Assistance and Training</w:t>
      </w:r>
      <w:r w:rsidR="00116C0D">
        <w:t xml:space="preserve"> </w:t>
      </w:r>
    </w:p>
    <w:p w14:paraId="284AEBCD" w14:textId="484920F2" w:rsidR="00F51755" w:rsidRPr="00E678BA" w:rsidRDefault="00116C0D" w:rsidP="00E61F4E">
      <w:r>
        <w:t xml:space="preserve">DPC as coordinating entity </w:t>
      </w:r>
      <w:r w:rsidR="006D1CC0">
        <w:t xml:space="preserve">can </w:t>
      </w:r>
      <w:r w:rsidRPr="00116C0D">
        <w:t>ensure that heritage preservation projects are carried out effectively and in alignment with best practices and regulatory requirements. By offering gui</w:t>
      </w:r>
      <w:r w:rsidR="006D1CC0">
        <w:t xml:space="preserve">dance and expertise, the DPC </w:t>
      </w:r>
      <w:r w:rsidRPr="00116C0D">
        <w:t>can help partners navigate complex issues related to heritage conservation, grant applications, and sustainable management, enhancing the overall quality and success of heritage initiatives within the region. This support also fosters a sense of empowerment among partners, encouraging their active engagement and long-term commitment to the preser</w:t>
      </w:r>
      <w:r w:rsidR="006D1CC0">
        <w:t>vation and promotion of the NHA</w:t>
      </w:r>
      <w:r w:rsidRPr="00116C0D">
        <w:t>'s cultural, natural, and historical assets.</w:t>
      </w:r>
    </w:p>
    <w:p w14:paraId="3F826D13" w14:textId="77777777" w:rsidR="00527F32" w:rsidRDefault="00F51755" w:rsidP="00E61F4E">
      <w:pPr>
        <w:pStyle w:val="Heading4"/>
      </w:pPr>
      <w:r w:rsidRPr="00E678BA">
        <w:t>Coordinate Communications and Outreach</w:t>
      </w:r>
      <w:r w:rsidR="006D1CC0">
        <w:t xml:space="preserve"> </w:t>
      </w:r>
    </w:p>
    <w:p w14:paraId="5D44E971" w14:textId="64D2215A" w:rsidR="00F51755" w:rsidRPr="00E678BA" w:rsidRDefault="006D1CC0" w:rsidP="00E61F4E">
      <w:r w:rsidRPr="006D1CC0">
        <w:t xml:space="preserve">Coordinating communications and outreach to </w:t>
      </w:r>
      <w:r>
        <w:t xml:space="preserve">NHA </w:t>
      </w:r>
      <w:r w:rsidRPr="006D1CC0">
        <w:t>partners is essenti</w:t>
      </w:r>
      <w:r>
        <w:t xml:space="preserve">al </w:t>
      </w:r>
      <w:r w:rsidRPr="006D1CC0">
        <w:t>because it ensures a unified and consistent message, fostering clarity and alignment among stakeholders, which is vital for the success of heritage preservation and promotion initiatives.</w:t>
      </w:r>
      <w:r>
        <w:t xml:space="preserve"> </w:t>
      </w:r>
    </w:p>
    <w:p w14:paraId="5A850C1D" w14:textId="77777777" w:rsidR="00527F32" w:rsidRDefault="00F51755" w:rsidP="00E61F4E">
      <w:pPr>
        <w:pStyle w:val="Heading4"/>
      </w:pPr>
      <w:r w:rsidRPr="00C24780">
        <w:rPr>
          <w:rFonts w:eastAsia="Futura Bk BT"/>
        </w:rPr>
        <w:t>Facilitate Volunteers</w:t>
      </w:r>
    </w:p>
    <w:p w14:paraId="37BC8950" w14:textId="3209A5B2" w:rsidR="00F51755" w:rsidRPr="006D1CC0" w:rsidRDefault="006D1CC0" w:rsidP="00E61F4E">
      <w:r w:rsidRPr="006D1CC0">
        <w:t>Facilitating volunteers through a database fo</w:t>
      </w:r>
      <w:r>
        <w:t>r partners to use could be of great benefit to NHA partners</w:t>
      </w:r>
      <w:r w:rsidRPr="006D1CC0">
        <w:t xml:space="preserve"> because it streamlines the </w:t>
      </w:r>
      <w:r w:rsidR="00DE3217">
        <w:t>identification of potential recruits. Furthermore</w:t>
      </w:r>
      <w:r w:rsidR="00104078">
        <w:t>,</w:t>
      </w:r>
      <w:r w:rsidR="00DE3217">
        <w:t xml:space="preserve"> the D</w:t>
      </w:r>
      <w:r w:rsidR="00104078">
        <w:t>P</w:t>
      </w:r>
      <w:r w:rsidR="00DE3217">
        <w:t>CD</w:t>
      </w:r>
      <w:r w:rsidR="00104078">
        <w:t>P</w:t>
      </w:r>
      <w:r w:rsidR="00DE3217">
        <w:t xml:space="preserve">C could also provide </w:t>
      </w:r>
      <w:r w:rsidR="00A736FC">
        <w:t xml:space="preserve">training, and </w:t>
      </w:r>
      <w:r w:rsidRPr="006D1CC0">
        <w:t>deployment of volunteers, making it easier for partners to access the necessary workforce for heritage conservation and promotion efforts. This role enhances the capacity of partners to leverage community engagement and local support, ultimately contributing to the sustainability and success of heritage initiatives within the designated region.</w:t>
      </w:r>
    </w:p>
    <w:p w14:paraId="4FAF8CDF" w14:textId="366DCA4A" w:rsidR="00F51755" w:rsidRDefault="005F6EFA" w:rsidP="00E61F4E">
      <w:pPr>
        <w:pStyle w:val="Heading3"/>
      </w:pPr>
      <w:r>
        <w:lastRenderedPageBreak/>
        <w:t xml:space="preserve">Strategy </w:t>
      </w:r>
      <w:r w:rsidR="00E678BA" w:rsidRPr="00C24780">
        <w:t xml:space="preserve">5.1.2 </w:t>
      </w:r>
      <w:r w:rsidR="00B00147" w:rsidRPr="00F60B6F">
        <w:t>The DPC will</w:t>
      </w:r>
      <w:r w:rsidR="002B5BAA">
        <w:t xml:space="preserve"> operate</w:t>
      </w:r>
      <w:r w:rsidR="00F51755" w:rsidRPr="00C24780">
        <w:t xml:space="preserve"> </w:t>
      </w:r>
      <w:r w:rsidR="00B00147" w:rsidRPr="00F60B6F">
        <w:t xml:space="preserve">a grant </w:t>
      </w:r>
      <w:r w:rsidR="002B5BAA">
        <w:t>program</w:t>
      </w:r>
      <w:r w:rsidR="00F51755" w:rsidRPr="00C24780">
        <w:t xml:space="preserve"> to </w:t>
      </w:r>
      <w:r w:rsidR="00B00147" w:rsidRPr="00F60B6F">
        <w:t>advance projects in the Sacramento-San Joaquin Delta NHA.</w:t>
      </w:r>
    </w:p>
    <w:p w14:paraId="405CD3F0" w14:textId="7EE5268B" w:rsidR="00B00147" w:rsidRDefault="00B00147" w:rsidP="00E61F4E">
      <w:r>
        <w:t xml:space="preserve">Throughout the management planning process, the communities of the Sacramento-San Joaquin Delta NHA continually reiterated the importance and need for </w:t>
      </w:r>
      <w:r w:rsidR="002B5BAA">
        <w:t>an</w:t>
      </w:r>
      <w:r>
        <w:t xml:space="preserve"> NHA grant program. Implementing a grant program for partners in the Sacramento-San Joaquin Delta National Heritage Area is a strategic and essential step toward preserving and celebrating this unique and culturally significant region. The Sacramento-San Joaquin Delta is a complex natural ecosystem with historical and cultural resources (as described in Chapter 3 and in the resource inventory in </w:t>
      </w:r>
      <w:r w:rsidR="00BC4A78" w:rsidRPr="00BC4A78">
        <w:t>Appendix E</w:t>
      </w:r>
      <w:r w:rsidRPr="00BC4A78">
        <w:t>).</w:t>
      </w:r>
      <w:r>
        <w:t xml:space="preserve"> Preserving the region's invaluable cultural assets is crucial to maintaining a sense of identity and heritage for local communities.</w:t>
      </w:r>
    </w:p>
    <w:p w14:paraId="39AC0861" w14:textId="04FFA088" w:rsidR="00B00147" w:rsidRDefault="00B00147" w:rsidP="00E61F4E">
      <w:r>
        <w:t>Many communities within the Delta have faced economic challenges, often due to shifts in agriculture and other industries. The grant program can support initiatives that encourage economic sustainability and growth, such as heritage-based tourism, agritourism, and small business development. By funding projects that enhance the economic vitality of the area, the grant program can contribute to job creation and economic resilience for the local population.</w:t>
      </w:r>
    </w:p>
    <w:p w14:paraId="17CA37AC" w14:textId="6AB9D848" w:rsidR="00B00147" w:rsidRDefault="00B00147" w:rsidP="00E61F4E">
      <w:r>
        <w:t>Education and awareness are crucial to ensure that the stories and significance of the Sacramento-San Joaquin Delta are not forgotten. The grant program can support projects that engage schools, museums, and community organizations to create educational programs, interpretive exhibits, and events. By fostering awareness, these initiatives can attract visitors and investment, further supporting the region's economic stability, cultural relevance, and natural vitality.</w:t>
      </w:r>
    </w:p>
    <w:p w14:paraId="43C6916F" w14:textId="77777777" w:rsidR="00B00147" w:rsidRDefault="00B00147" w:rsidP="00E61F4E">
      <w:r>
        <w:t xml:space="preserve">Engaging local communities in the conservation and promotion of their own heritage is key to the sustainability of the Sacramento-San Joaquin Delta National Heritage Area. A grant program can enable communities to take a more active role in protecting and celebrating their heritage. These grants can enable community-driven projects, such as cultural festivals, historical lectures, and environmental cleanup efforts, which not only preserve the heritage but also instill a sense of pride and ownership among </w:t>
      </w:r>
      <w:proofErr w:type="gramStart"/>
      <w:r>
        <w:t>local residents</w:t>
      </w:r>
      <w:proofErr w:type="gramEnd"/>
      <w:r>
        <w:t>.</w:t>
      </w:r>
    </w:p>
    <w:p w14:paraId="33C621E5" w14:textId="32445018" w:rsidR="00B00147" w:rsidRDefault="00B00147" w:rsidP="00E61F4E">
      <w:r>
        <w:t>The Delta's unique ecosystem faces numerous environmental challenges, including habitat loss, invasive species, and the impacts of climate change. A grant program can provide funding for conservation and restoration projects aimed at safeguarding the area's natural resources. Conservation efforts can help maintain the Delta's ecological health, ensuring it continues to be a place of natural wonder that supports agriculture along with a habitat for wildlife.</w:t>
      </w:r>
      <w:r w:rsidR="00DE3217">
        <w:t xml:space="preserve"> Another significant benefit of an NHA grant program is that the funds can</w:t>
      </w:r>
      <w:r w:rsidR="00B36A45">
        <w:t xml:space="preserve"> often a</w:t>
      </w:r>
      <w:r w:rsidR="00DE3217">
        <w:t>ttract other grants</w:t>
      </w:r>
      <w:r w:rsidR="00B36A45">
        <w:t xml:space="preserve"> further benefiting the NHA.</w:t>
      </w:r>
    </w:p>
    <w:p w14:paraId="051BF6A4" w14:textId="2D532142" w:rsidR="00B00147" w:rsidRPr="00B00147" w:rsidRDefault="00B00147" w:rsidP="00E61F4E">
      <w:r>
        <w:t xml:space="preserve">Implementing a grant program for partners in the Sacramento-San Joaquin Delta National Heritage Area is necessary to address the multifaceted </w:t>
      </w:r>
      <w:r>
        <w:lastRenderedPageBreak/>
        <w:t>challenges and oppo</w:t>
      </w:r>
      <w:r w:rsidR="00E46E7A">
        <w:t xml:space="preserve">rtunities this region presents. </w:t>
      </w:r>
      <w:r>
        <w:t xml:space="preserve">It provides a structured mechanism to allocate resources and support projects that promote historic preservation, cultural conservation, tourism, recreation, economic growth, interpretation and education, community engagement, and environmental conservation. </w:t>
      </w:r>
      <w:r w:rsidR="00E46E7A">
        <w:t>This need, and support for partner projects, is also articulated in Chapter 5</w:t>
      </w:r>
      <w:r w:rsidR="00295413">
        <w:t xml:space="preserve">, </w:t>
      </w:r>
      <w:r w:rsidR="005F6EFA">
        <w:t>S</w:t>
      </w:r>
      <w:r w:rsidR="00295413">
        <w:t>trategy</w:t>
      </w:r>
      <w:r w:rsidR="00E46E7A">
        <w:t xml:space="preserve"> 4.2.1. </w:t>
      </w:r>
      <w:r>
        <w:t>This grant program not only safeguards the Sacramento-San Joaquin Delta's heritage but also allows it to flourish and thrive. By preserving its cultural and natural treasures, boosting its economic sustainability, and actively engaging the community, the NHA will ensure that this remarkable region continues to be a source of pride and inspiration for generations to come.</w:t>
      </w:r>
    </w:p>
    <w:p w14:paraId="21F4D1C6" w14:textId="7903D00D" w:rsidR="00E52C51" w:rsidRDefault="00E52C51" w:rsidP="00E61F4E">
      <w:r w:rsidRPr="00E52C51">
        <w:t>Specifically</w:t>
      </w:r>
      <w:r w:rsidRPr="00F60B6F">
        <w:t>,</w:t>
      </w:r>
      <w:r w:rsidR="00EB258A">
        <w:t xml:space="preserve"> a</w:t>
      </w:r>
      <w:r>
        <w:t xml:space="preserve"> Sacramento-San Joaquin Delta NHA grant program would </w:t>
      </w:r>
      <w:r w:rsidR="00E46E7A">
        <w:t>consist</w:t>
      </w:r>
      <w:r>
        <w:t xml:space="preserve"> of a structured process for allocating funds to support projects related to heritage preservation and community development. The elements of such a program would include</w:t>
      </w:r>
      <w:r w:rsidR="00EA60A8">
        <w:t>:</w:t>
      </w:r>
      <w:r>
        <w:t xml:space="preserve"> application guid</w:t>
      </w:r>
      <w:r w:rsidR="00EA60A8">
        <w:t>elines and eligibility criteria;</w:t>
      </w:r>
      <w:r>
        <w:t xml:space="preserve"> </w:t>
      </w:r>
      <w:r w:rsidR="00CB3816">
        <w:t>workshops to train partn</w:t>
      </w:r>
      <w:r w:rsidR="00EA60A8">
        <w:t>ers in how to apply for a grant;</w:t>
      </w:r>
      <w:r w:rsidR="00CB3816">
        <w:t xml:space="preserve"> </w:t>
      </w:r>
      <w:r>
        <w:t>a process for review of and evaluation of the applications received; determining grant funding thresholds; monitoring and reporting of previously approved grants; grant close-out requirements; and, final reports and evaluation of the grant to determine if the applicant met the goals of the grants and the NHA as a whole.</w:t>
      </w:r>
    </w:p>
    <w:p w14:paraId="58B7C70A" w14:textId="2644A04C" w:rsidR="00F51755" w:rsidRDefault="005F6EFA" w:rsidP="00E61F4E">
      <w:pPr>
        <w:pStyle w:val="Heading2"/>
      </w:pPr>
      <w:r>
        <w:t xml:space="preserve">Objective </w:t>
      </w:r>
      <w:r w:rsidR="00281CDB">
        <w:t>5.2 M</w:t>
      </w:r>
      <w:r w:rsidR="00281CDB" w:rsidRPr="00281CDB">
        <w:t xml:space="preserve">aintain the Delta Protection </w:t>
      </w:r>
      <w:r w:rsidR="00281CDB">
        <w:t xml:space="preserve">Commission as the </w:t>
      </w:r>
      <w:r w:rsidR="00281CDB" w:rsidRPr="00281CDB">
        <w:t>coordinating entity for t</w:t>
      </w:r>
      <w:r w:rsidR="00281CDB">
        <w:t xml:space="preserve">he National Heritage Area </w:t>
      </w:r>
      <w:r w:rsidR="00281CDB" w:rsidRPr="00281CDB">
        <w:t>by upholding its commitment to conservation, heritage preservation, sustainable development, and community engagement,</w:t>
      </w:r>
      <w:r w:rsidR="00281CDB">
        <w:t xml:space="preserve"> while implementing the management plan and increasing the visibility </w:t>
      </w:r>
      <w:r w:rsidR="00281CDB" w:rsidRPr="00281CDB">
        <w:t>and impact of the NHA</w:t>
      </w:r>
      <w:r w:rsidR="00281CDB">
        <w:t>.</w:t>
      </w:r>
    </w:p>
    <w:p w14:paraId="1D5BAAC5" w14:textId="57C881FA" w:rsidR="00F51755" w:rsidRPr="00E678BA" w:rsidRDefault="005F6EFA" w:rsidP="00E61F4E">
      <w:pPr>
        <w:pStyle w:val="Heading3"/>
      </w:pPr>
      <w:r>
        <w:t xml:space="preserve">Strategy </w:t>
      </w:r>
      <w:r w:rsidR="00E678BA">
        <w:t xml:space="preserve">5.2.1 </w:t>
      </w:r>
      <w:r w:rsidR="00F51755" w:rsidRPr="00E678BA">
        <w:t>The DPC will continue as the coordinating entity for the Sacramento-San Joaquin Delta NHA, supporting the NHA with established administrative and professional positions.</w:t>
      </w:r>
    </w:p>
    <w:p w14:paraId="310C406D" w14:textId="70BC8BA6" w:rsidR="001E256B" w:rsidRPr="001E256B" w:rsidRDefault="00B53950" w:rsidP="00E61F4E">
      <w:r>
        <w:t xml:space="preserve">Based on public opinion, as demonstrated in the recent </w:t>
      </w:r>
      <w:r w:rsidRPr="00B53950">
        <w:rPr>
          <w:i/>
        </w:rPr>
        <w:t>Delta Residents Survey</w:t>
      </w:r>
      <w:r w:rsidR="001D7B56">
        <w:rPr>
          <w:i/>
        </w:rPr>
        <w:t>,</w:t>
      </w:r>
      <w:r>
        <w:t xml:space="preserve"> the Delta Protection Commission is the most trusted state agency working in the Delta.</w:t>
      </w:r>
      <w:r w:rsidR="001D7B56">
        <w:rPr>
          <w:rStyle w:val="FootnoteReference"/>
          <w:bCs/>
        </w:rPr>
        <w:footnoteReference w:id="2"/>
      </w:r>
      <w:r>
        <w:t xml:space="preserve"> </w:t>
      </w:r>
      <w:r w:rsidR="001D7B56">
        <w:t>T</w:t>
      </w:r>
      <w:r>
        <w:t>he</w:t>
      </w:r>
      <w:r w:rsidR="001E256B">
        <w:t xml:space="preserve"> current staffing of the DPC with responsibilities </w:t>
      </w:r>
      <w:r w:rsidR="00EA60A8">
        <w:t>for</w:t>
      </w:r>
      <w:r w:rsidR="001E256B">
        <w:t xml:space="preserve"> the coordination and management of the Sacramento-San Joaquin Delta National Heritage Area </w:t>
      </w:r>
      <w:r w:rsidR="0001634F">
        <w:t>are provided, below. It should be noted that the percentage of time to be allocated could change with the evolving needs of the NHA.</w:t>
      </w:r>
    </w:p>
    <w:p w14:paraId="365A9EC1" w14:textId="0360BBAB" w:rsidR="001E256B" w:rsidRPr="001E256B" w:rsidRDefault="001E256B" w:rsidP="00E61F4E">
      <w:pPr>
        <w:pStyle w:val="Heading4"/>
      </w:pPr>
      <w:r w:rsidRPr="001E256B">
        <w:lastRenderedPageBreak/>
        <w:t>Delta Protection Commission Executive Director</w:t>
      </w:r>
    </w:p>
    <w:p w14:paraId="299E7928" w14:textId="2D1D9241" w:rsidR="001E256B" w:rsidRDefault="001E256B" w:rsidP="00E61F4E">
      <w:bookmarkStart w:id="1" w:name="_Hlk150190349"/>
      <w:r w:rsidRPr="001E256B">
        <w:t>The Executive Director</w:t>
      </w:r>
      <w:r w:rsidR="00F944D5">
        <w:t xml:space="preserve"> (California job classification CEA B)</w:t>
      </w:r>
      <w:r w:rsidRPr="001E256B">
        <w:t xml:space="preserve"> of the Delta </w:t>
      </w:r>
      <w:r w:rsidR="00EA60A8">
        <w:t>Protection Commission plans,</w:t>
      </w:r>
      <w:r w:rsidRPr="001E256B">
        <w:t xml:space="preserve"> organizes</w:t>
      </w:r>
      <w:r w:rsidR="00EA60A8">
        <w:t>,</w:t>
      </w:r>
      <w:r w:rsidRPr="001E256B">
        <w:t xml:space="preserve"> and directs the activities of the Commission staff as directed by the Legislature and the Governor, and holds the top responsibility as the chief executive of the NHA</w:t>
      </w:r>
      <w:r w:rsidR="006E44D7">
        <w:t xml:space="preserve"> to advance t</w:t>
      </w:r>
      <w:r w:rsidRPr="001E256B">
        <w:t>he NHA's mission, vision, policies, strategies, and its operations, including staff management, budgeting, and program execution. Th</w:t>
      </w:r>
      <w:r w:rsidR="00EA60A8">
        <w:t>e Executive Director represents</w:t>
      </w:r>
      <w:r w:rsidRPr="001E256B">
        <w:t xml:space="preserve"> the organization to stakeholders, partners, and the public, and chairs the NHA Management Plan Advisory Committee.</w:t>
      </w:r>
      <w:r w:rsidR="00EA60A8">
        <w:t xml:space="preserve"> The Executive Director reports</w:t>
      </w:r>
      <w:r w:rsidRPr="001E256B">
        <w:t xml:space="preserve"> to the Delta Protec</w:t>
      </w:r>
      <w:r w:rsidR="00BC1F06">
        <w:t xml:space="preserve">tion Commission. </w:t>
      </w:r>
      <w:r w:rsidR="00F944D5">
        <w:t>T</w:t>
      </w:r>
      <w:r w:rsidR="0001634F">
        <w:t>he executive director c</w:t>
      </w:r>
      <w:r w:rsidRPr="001E256B" w:rsidDel="00B6003C">
        <w:t>hairs the NHA Advisory Committee.</w:t>
      </w:r>
    </w:p>
    <w:p w14:paraId="2DF2D569" w14:textId="77777777" w:rsidR="00F944D5" w:rsidRPr="001E256B" w:rsidRDefault="00F944D5" w:rsidP="00E61F4E">
      <w:r w:rsidRPr="001E256B">
        <w:t>NHA Program and Project Team</w:t>
      </w:r>
    </w:p>
    <w:p w14:paraId="750ADC57" w14:textId="5263F6AA" w:rsidR="00F944D5" w:rsidRPr="001E256B" w:rsidRDefault="00F944D5" w:rsidP="00E61F4E">
      <w:r>
        <w:t>The NHA program and project team are r</w:t>
      </w:r>
      <w:r w:rsidRPr="001E256B">
        <w:t>esponsible for implementing specific goals and recommendations of the management plan within the NHA.</w:t>
      </w:r>
      <w:r>
        <w:t xml:space="preserve"> The staff will w</w:t>
      </w:r>
      <w:r w:rsidRPr="001E256B">
        <w:t xml:space="preserve">ork directly with the NHA </w:t>
      </w:r>
      <w:r>
        <w:t xml:space="preserve">Community </w:t>
      </w:r>
      <w:r w:rsidRPr="001E256B">
        <w:t>Advisory</w:t>
      </w:r>
      <w:r>
        <w:t xml:space="preserve"> Committe</w:t>
      </w:r>
      <w:r w:rsidR="00833FEA">
        <w:t>e, t</w:t>
      </w:r>
      <w:r>
        <w:t xml:space="preserve">ask </w:t>
      </w:r>
      <w:r w:rsidR="00833FEA">
        <w:t>g</w:t>
      </w:r>
      <w:r>
        <w:t>roups</w:t>
      </w:r>
      <w:r w:rsidR="00833FEA">
        <w:t>,</w:t>
      </w:r>
      <w:r w:rsidRPr="001E256B">
        <w:t xml:space="preserve"> and the communities to carry out programs and projects that advance the NHA’s goals, strategies, and desired outcomes.</w:t>
      </w:r>
    </w:p>
    <w:bookmarkEnd w:id="1"/>
    <w:p w14:paraId="3F9AC355" w14:textId="6DE108CD" w:rsidR="001E256B" w:rsidRPr="001E256B" w:rsidRDefault="00F944D5" w:rsidP="00E61F4E">
      <w:pPr>
        <w:pStyle w:val="Heading4"/>
      </w:pPr>
      <w:r>
        <w:t>N</w:t>
      </w:r>
      <w:r w:rsidR="001E256B" w:rsidRPr="001E256B">
        <w:t>HA Program Manager</w:t>
      </w:r>
    </w:p>
    <w:p w14:paraId="633557FE" w14:textId="765DBA68" w:rsidR="001E256B" w:rsidRDefault="00C11C9E" w:rsidP="00E61F4E">
      <w:r>
        <w:t>T</w:t>
      </w:r>
      <w:r w:rsidR="001E256B" w:rsidRPr="001E256B">
        <w:t>he NHA Program Manager</w:t>
      </w:r>
      <w:r w:rsidR="00F944D5">
        <w:t xml:space="preserve"> (California job classification Program Manager I)</w:t>
      </w:r>
      <w:r w:rsidR="001E256B" w:rsidRPr="001E256B">
        <w:t xml:space="preserve"> currently exists within the DPC and is responsible for the day-to-day implementation of the NHA’s management plan and its programs and projects. The Program Manager internal to DPC</w:t>
      </w:r>
      <w:r w:rsidR="00125B8A">
        <w:t>, overse</w:t>
      </w:r>
      <w:r w:rsidR="00EA60A8">
        <w:t>es all NHA program staff, includ</w:t>
      </w:r>
      <w:r w:rsidR="00125B8A">
        <w:t>ing those contracted</w:t>
      </w:r>
      <w:r w:rsidR="001E256B" w:rsidRPr="001E256B">
        <w:t xml:space="preserve"> working on specific NHA goals, such as conservation, education, community engagement, tourism, and economic development</w:t>
      </w:r>
      <w:r w:rsidR="00F944D5">
        <w:t>. The Program Manager will work to implement</w:t>
      </w:r>
      <w:r w:rsidR="001E256B" w:rsidRPr="001E256B">
        <w:t xml:space="preserve"> the management plan and its goals, objectives, and strategies. The Program Manager will manage and measure NHA program an</w:t>
      </w:r>
      <w:r w:rsidR="00EA60A8">
        <w:t>d project outcomes; collaborate</w:t>
      </w:r>
      <w:r w:rsidR="001E256B" w:rsidRPr="001E256B">
        <w:t xml:space="preserve"> with partners, stakeholders, and community members to achieve program and project goals; and </w:t>
      </w:r>
      <w:r>
        <w:t>i</w:t>
      </w:r>
      <w:r w:rsidR="001E256B" w:rsidRPr="001E256B">
        <w:t xml:space="preserve">dentify opportunities for other </w:t>
      </w:r>
      <w:r>
        <w:t xml:space="preserve">public or private </w:t>
      </w:r>
      <w:r w:rsidR="001E256B" w:rsidRPr="001E256B">
        <w:t xml:space="preserve">funding to support the NHA and to meet the federal match requirements. </w:t>
      </w:r>
    </w:p>
    <w:p w14:paraId="5E027DA6" w14:textId="77777777" w:rsidR="00E73084" w:rsidRDefault="00E73084" w:rsidP="00E61F4E">
      <w:pPr>
        <w:pStyle w:val="Heading4"/>
      </w:pPr>
      <w:r w:rsidRPr="00217746">
        <w:t>Environmental Planner/Specialist</w:t>
      </w:r>
    </w:p>
    <w:p w14:paraId="04C50DB0" w14:textId="5DBE4272" w:rsidR="00E73084" w:rsidRDefault="00E73084" w:rsidP="00E61F4E">
      <w:r>
        <w:t xml:space="preserve">The </w:t>
      </w:r>
      <w:r w:rsidRPr="00217746">
        <w:t>Environmental Planner/Specialist</w:t>
      </w:r>
      <w:r>
        <w:t xml:space="preserve"> (California job classification Senior Environmental Planner)</w:t>
      </w:r>
      <w:r w:rsidRPr="00217746">
        <w:t xml:space="preserve"> fo</w:t>
      </w:r>
      <w:r>
        <w:t>r a National Heritage Area holds</w:t>
      </w:r>
      <w:r w:rsidRPr="00217746">
        <w:t xml:space="preserve"> a crucial role in working with other partners and organizations that have primary responsibility for preserving and managing the ecological and cultural resources within the N</w:t>
      </w:r>
      <w:r>
        <w:t xml:space="preserve">HA. Their responsibilities </w:t>
      </w:r>
      <w:r w:rsidRPr="00217746">
        <w:t>involve supporting the partner groups' work within the NHA as the recommendations of the management plan are advanced This role will require a strong blend of environmental knowledge, planning and management expertise, and community engagement skills</w:t>
      </w:r>
      <w:r w:rsidR="00833FEA">
        <w:t>.</w:t>
      </w:r>
    </w:p>
    <w:p w14:paraId="5D7F421D" w14:textId="39C59B3F" w:rsidR="00F944D5" w:rsidRDefault="00F944D5" w:rsidP="00E61F4E">
      <w:pPr>
        <w:pStyle w:val="Heading4"/>
      </w:pPr>
      <w:r w:rsidRPr="00217746">
        <w:t>Recreation Specialist</w:t>
      </w:r>
    </w:p>
    <w:p w14:paraId="76183896" w14:textId="789A72F1" w:rsidR="00F944D5" w:rsidRPr="00217746" w:rsidRDefault="00F944D5" w:rsidP="00E61F4E">
      <w:bookmarkStart w:id="2" w:name="_Hlk150244261"/>
      <w:r w:rsidRPr="00217746">
        <w:t>The Recreation Specialist</w:t>
      </w:r>
      <w:r>
        <w:t xml:space="preserve"> (California job classification Program Manager I)</w:t>
      </w:r>
      <w:r w:rsidRPr="00217746">
        <w:t xml:space="preserve"> in the National Heritage Area develops and manages recreational programs and </w:t>
      </w:r>
      <w:r w:rsidRPr="00217746">
        <w:lastRenderedPageBreak/>
        <w:t xml:space="preserve">activities that promote outdoor exploration, enjoyment of natural resources, and an appreciation for the area's historical and cultural heritage. The Recreation Specialist works closely with the </w:t>
      </w:r>
      <w:r w:rsidR="000B25C3">
        <w:t xml:space="preserve">NHA Program Manager and </w:t>
      </w:r>
      <w:r w:rsidRPr="00217746">
        <w:t>Environmental Planner/Specialists on projects and programs that enhance visitors' and residents' experiences while preserving the integrity of the NHA's environment.</w:t>
      </w:r>
      <w:bookmarkEnd w:id="2"/>
    </w:p>
    <w:p w14:paraId="583CF9D0" w14:textId="697CFC30" w:rsidR="00F944D5" w:rsidRDefault="00F944D5" w:rsidP="00E61F4E">
      <w:pPr>
        <w:pStyle w:val="Heading4"/>
      </w:pPr>
      <w:r w:rsidRPr="00217746">
        <w:t>Marketing an</w:t>
      </w:r>
      <w:r>
        <w:t>d Community Outreach Specialist</w:t>
      </w:r>
    </w:p>
    <w:p w14:paraId="36488F15" w14:textId="7901390C" w:rsidR="00F944D5" w:rsidRDefault="00F944D5" w:rsidP="00E61F4E">
      <w:r w:rsidRPr="00217746">
        <w:t>The Marketing and Community Outreach Specialist</w:t>
      </w:r>
      <w:r>
        <w:t xml:space="preserve"> (California job classification Information Officer I)</w:t>
      </w:r>
      <w:r w:rsidRPr="00217746">
        <w:t xml:space="preserve"> is instrumental in creating a positive public image, fostering community engagement, and driving growth for the organization through effective marketing and outreach efforts</w:t>
      </w:r>
      <w:r>
        <w:t xml:space="preserve"> of all projects and programs of the NHA</w:t>
      </w:r>
      <w:r w:rsidRPr="00217746">
        <w:t>. The position is often pivotal in promoting the National Heritage Area, building strong community relationships, and expanding its reach. The Marketing and Community Outreach Specialist is responsible for creating and implementing marketing strategies, managing public relations, and engaging with the local community to enhance brand visibility and reputation.</w:t>
      </w:r>
    </w:p>
    <w:p w14:paraId="3C820306" w14:textId="45AEFB34" w:rsidR="001E256B" w:rsidRPr="00F944D5" w:rsidRDefault="00F944D5" w:rsidP="00E61F4E">
      <w:r>
        <w:t>DPC Administration, Finance</w:t>
      </w:r>
      <w:r w:rsidR="00340591">
        <w:t>,</w:t>
      </w:r>
      <w:r>
        <w:t xml:space="preserve"> and Information Technology Team</w:t>
      </w:r>
    </w:p>
    <w:p w14:paraId="68411ACA" w14:textId="77777777" w:rsidR="00127132" w:rsidRPr="001E256B" w:rsidRDefault="00127132" w:rsidP="00E61F4E">
      <w:r w:rsidRPr="001E256B">
        <w:t xml:space="preserve">Within the Delta Protection Commission exist other positions that are necessary for all organizations, including National Heritage Areas. Too often, however, NHAs overlook these positions and rarely fill them as the positions do not have direct outcomes associated with developing an organization's programs and projects. For the Sacramento-San Joaquin Delta National Heritage Area, the benefit of these positions existing within the DPC is significant to the ability of the NHA staff to be able to focus on advancing the recommendations of the management plan without being burdened by other important, but time-consuming work. Moreover, the budget allocated by DPC for these positions can be proportionally applied to the direct financial support of the Sacramento-San Joaquin Delta National Heritage Area, thereby counting toward the NHA's match requirement for receipt of federal funding from the National Park Service through the Heritage Partnership Program. </w:t>
      </w:r>
    </w:p>
    <w:p w14:paraId="70FAB33E" w14:textId="1B390F37" w:rsidR="00F944D5" w:rsidRDefault="00F944D5" w:rsidP="00E61F4E">
      <w:pPr>
        <w:pStyle w:val="Heading4"/>
      </w:pPr>
      <w:r>
        <w:t>Finance and Administration</w:t>
      </w:r>
    </w:p>
    <w:p w14:paraId="62BAD332" w14:textId="2948212E" w:rsidR="001E256B" w:rsidRDefault="00F944D5" w:rsidP="00E61F4E">
      <w:r>
        <w:t>The f</w:t>
      </w:r>
      <w:r w:rsidR="001E256B" w:rsidRPr="001E256B">
        <w:t>inanc</w:t>
      </w:r>
      <w:r w:rsidR="00732847">
        <w:t>e</w:t>
      </w:r>
      <w:r>
        <w:t xml:space="preserve"> and administration s</w:t>
      </w:r>
      <w:r w:rsidR="001E256B" w:rsidRPr="001E256B">
        <w:t>taff</w:t>
      </w:r>
      <w:r>
        <w:t xml:space="preserve"> (California job classification Staff Services Manager)</w:t>
      </w:r>
      <w:r w:rsidR="001E256B" w:rsidRPr="001E256B">
        <w:t xml:space="preserve"> is integral to the National Heritage Area's financial stability and compliance with regulations, ensuring that resources are managed effectively to support the organizati</w:t>
      </w:r>
      <w:r>
        <w:t>on's mission and growth. R</w:t>
      </w:r>
      <w:r w:rsidR="001E256B" w:rsidRPr="001E256B">
        <w:t>esponsibilities include managing the NHA's operations</w:t>
      </w:r>
      <w:r>
        <w:t>, procurement, purchasing, contracting, and human resources, and ensuring fiscal responsibility including</w:t>
      </w:r>
      <w:r w:rsidR="001E256B" w:rsidRPr="001E256B">
        <w:t xml:space="preserve"> maintaining accurate accounting records, developing financial documents including monthly financial reports, annual reports, grant monitoring and reporting, and required </w:t>
      </w:r>
      <w:r>
        <w:t xml:space="preserve">audits. </w:t>
      </w:r>
      <w:r w:rsidR="001E256B" w:rsidRPr="001E256B">
        <w:t>This role is critical for sound management of financial resources and maintaining the financial health of the heritage area.</w:t>
      </w:r>
    </w:p>
    <w:p w14:paraId="51135629" w14:textId="3D4CA1C6" w:rsidR="00F944D5" w:rsidRDefault="00F944D5" w:rsidP="00E61F4E">
      <w:pPr>
        <w:pStyle w:val="Heading4"/>
      </w:pPr>
      <w:r>
        <w:lastRenderedPageBreak/>
        <w:t xml:space="preserve">General Administrative </w:t>
      </w:r>
      <w:r w:rsidRPr="00217746">
        <w:t xml:space="preserve">Staff </w:t>
      </w:r>
    </w:p>
    <w:p w14:paraId="6DDD37C9" w14:textId="77777777" w:rsidR="00F944D5" w:rsidRPr="00E678BA" w:rsidRDefault="00F944D5" w:rsidP="00E61F4E">
      <w:r w:rsidRPr="00217746">
        <w:t>Administrative personnel contribute to the efficient operation of the National Heritage Area by pro</w:t>
      </w:r>
      <w:r>
        <w:t xml:space="preserve">viding essential </w:t>
      </w:r>
      <w:r w:rsidRPr="00217746">
        <w:t>support</w:t>
      </w:r>
      <w:r>
        <w:t xml:space="preserve"> and </w:t>
      </w:r>
      <w:r w:rsidRPr="00217746">
        <w:t>helping to maintain a well-organized and functioning NHA</w:t>
      </w:r>
      <w:r>
        <w:t xml:space="preserve"> operation</w:t>
      </w:r>
      <w:r w:rsidRPr="00217746">
        <w:t>.</w:t>
      </w:r>
    </w:p>
    <w:p w14:paraId="16E8647C" w14:textId="658B287A" w:rsidR="00F944D5" w:rsidRPr="001E256B" w:rsidRDefault="00F944D5" w:rsidP="00E61F4E">
      <w:pPr>
        <w:pStyle w:val="Heading4"/>
      </w:pPr>
      <w:r>
        <w:t>Consulting Services</w:t>
      </w:r>
    </w:p>
    <w:p w14:paraId="34451316" w14:textId="7781245E" w:rsidR="001E256B" w:rsidRPr="001E256B" w:rsidRDefault="001E256B" w:rsidP="00E61F4E">
      <w:r w:rsidRPr="00130F61">
        <w:t xml:space="preserve">Information Technology </w:t>
      </w:r>
      <w:r w:rsidR="00F944D5" w:rsidRPr="00130F61">
        <w:t>Consulting Staff - The information t</w:t>
      </w:r>
      <w:r w:rsidRPr="00130F61">
        <w:t xml:space="preserve">echnology </w:t>
      </w:r>
      <w:r w:rsidR="00F944D5" w:rsidRPr="00130F61">
        <w:t>consulting staff</w:t>
      </w:r>
      <w:r w:rsidR="008B4C93" w:rsidRPr="00130F61">
        <w:t xml:space="preserve"> </w:t>
      </w:r>
      <w:r w:rsidRPr="00130F61">
        <w:t>f</w:t>
      </w:r>
      <w:r w:rsidR="00F944D5" w:rsidRPr="00130F61">
        <w:t>or the National Heritage Area are</w:t>
      </w:r>
      <w:r w:rsidRPr="00130F61">
        <w:t xml:space="preserve"> responsible for managing and maintaining the organization's information technology systems, ensuring that digital infrastructure and technology resources are efficient, secure, and aligned with the organization's mission. This </w:t>
      </w:r>
      <w:r w:rsidR="00F944D5" w:rsidRPr="00130F61">
        <w:t xml:space="preserve">is a contracted service and </w:t>
      </w:r>
      <w:r w:rsidRPr="00130F61">
        <w:t>plays a critical part in supporting the National Heritage Area's operations, data management, and online presence.</w:t>
      </w:r>
      <w:r w:rsidR="00130F61" w:rsidRPr="00130F61">
        <w:t xml:space="preserve"> </w:t>
      </w:r>
    </w:p>
    <w:p w14:paraId="523B4AFF" w14:textId="1FF02FB1" w:rsidR="00F51755" w:rsidRPr="00E678BA" w:rsidRDefault="005F6EFA" w:rsidP="00E61F4E">
      <w:pPr>
        <w:pStyle w:val="Heading3"/>
      </w:pPr>
      <w:r>
        <w:t xml:space="preserve">Strategy </w:t>
      </w:r>
      <w:r w:rsidR="006C6009">
        <w:t xml:space="preserve">5.2.2 </w:t>
      </w:r>
      <w:r w:rsidR="00F51755" w:rsidRPr="00E678BA">
        <w:t>The DPC will add</w:t>
      </w:r>
      <w:r w:rsidR="00217746">
        <w:t xml:space="preserve"> staff as the NHA’s needs evolve and change</w:t>
      </w:r>
      <w:r w:rsidR="00F51755" w:rsidRPr="00E678BA">
        <w:t>.</w:t>
      </w:r>
    </w:p>
    <w:p w14:paraId="282A394B" w14:textId="293CBE4C" w:rsidR="00217746" w:rsidRDefault="00217746" w:rsidP="00E61F4E">
      <w:r>
        <w:t>The staffing needs</w:t>
      </w:r>
      <w:r w:rsidR="00BA5CAB">
        <w:t xml:space="preserve"> listed below</w:t>
      </w:r>
      <w:r w:rsidR="00BC1F06">
        <w:t xml:space="preserve"> are those positions that may be necessary to accomplish the recommendations, goals, and strategies included in this management plan. </w:t>
      </w:r>
      <w:r w:rsidR="00BA5CAB">
        <w:t xml:space="preserve">Some positions might be filled as staff of the DCP. Other positions might be able to be housed within another state agency or partner organization. </w:t>
      </w:r>
      <w:r>
        <w:t xml:space="preserve">It should be noted that </w:t>
      </w:r>
      <w:r w:rsidR="00127132">
        <w:t>t</w:t>
      </w:r>
      <w:r w:rsidR="00F51755" w:rsidRPr="00E678BA">
        <w:t>he State of California has established job titles within which al</w:t>
      </w:r>
      <w:r>
        <w:t>l future NHA positions must fit</w:t>
      </w:r>
      <w:r w:rsidR="00127132">
        <w:t>. T</w:t>
      </w:r>
      <w:r>
        <w:t>herefore</w:t>
      </w:r>
      <w:r w:rsidR="00127132">
        <w:t xml:space="preserve">, </w:t>
      </w:r>
      <w:r>
        <w:t>the job titles listed below may not correspond directly to those positions identified by the State of California for the DPC.</w:t>
      </w:r>
      <w:r w:rsidR="00127132">
        <w:t xml:space="preserve"> </w:t>
      </w:r>
      <w:r w:rsidR="00E52C51">
        <w:t>In addition, all newly created positions must be approved by the State of Calif</w:t>
      </w:r>
      <w:r w:rsidR="00D710F5">
        <w:t>ornia before they can be advertised</w:t>
      </w:r>
      <w:r w:rsidR="00EA60A8">
        <w:t>.</w:t>
      </w:r>
      <w:r w:rsidR="00BC1F06">
        <w:t xml:space="preserve"> T</w:t>
      </w:r>
      <w:r w:rsidR="00EA60A8">
        <w:t>he staffing positions listed below could include the following:</w:t>
      </w:r>
    </w:p>
    <w:p w14:paraId="35095FA1" w14:textId="2F7CD978" w:rsidR="00744746" w:rsidRDefault="00217746" w:rsidP="00E61F4E">
      <w:pPr>
        <w:pStyle w:val="Heading4"/>
      </w:pPr>
      <w:r w:rsidRPr="00217746">
        <w:t>Tourism Coordinator/Specialist</w:t>
      </w:r>
    </w:p>
    <w:p w14:paraId="56D6F24E" w14:textId="3A59D850" w:rsidR="00217746" w:rsidRPr="00217746" w:rsidRDefault="00217746" w:rsidP="00E61F4E">
      <w:r w:rsidRPr="00217746">
        <w:t>A Tourism Coordinator</w:t>
      </w:r>
      <w:r w:rsidR="00F944D5">
        <w:t xml:space="preserve"> (California job classification Information Officer I)</w:t>
      </w:r>
      <w:r w:rsidRPr="00217746">
        <w:t xml:space="preserve"> f</w:t>
      </w:r>
      <w:r w:rsidR="00F944D5">
        <w:t>or the National Heritage Area will be</w:t>
      </w:r>
      <w:r w:rsidRPr="00217746">
        <w:t xml:space="preserve"> a dynamic role that combines marketing, cultural preservation, and community engagement to promote the rich heritage of the region and create memorable experiences for visitors. This position is responsible for planning, coordinating, and implementing tourism initiatives to attract visitors, educat</w:t>
      </w:r>
      <w:r w:rsidR="00EA60A8">
        <w:t>ing</w:t>
      </w:r>
      <w:r w:rsidRPr="00217746">
        <w:t xml:space="preserve"> them about the area's heritage, and ensur</w:t>
      </w:r>
      <w:r w:rsidR="00EA60A8">
        <w:t>ing</w:t>
      </w:r>
      <w:r w:rsidRPr="00217746">
        <w:t xml:space="preserve"> their overall satisfaction. </w:t>
      </w:r>
      <w:r w:rsidR="00127132">
        <w:t>As described in Chapter 4, t</w:t>
      </w:r>
      <w:r w:rsidRPr="00217746">
        <w:t>he Tourism Coordinator will play an important role in connecting the region's destinations and attractions, the destination marketing organizations, and the state's official visitors' bureau - Visit California.</w:t>
      </w:r>
      <w:r w:rsidR="00127132">
        <w:t xml:space="preserve"> This position will also be responsible for implementing the marketing p</w:t>
      </w:r>
      <w:r w:rsidR="00E52C51">
        <w:t>lan mentioned in Chapter 4</w:t>
      </w:r>
      <w:r w:rsidR="00127132">
        <w:t>.</w:t>
      </w:r>
    </w:p>
    <w:p w14:paraId="298FD3CF" w14:textId="4DE9660B" w:rsidR="00744746" w:rsidRDefault="003D4A18" w:rsidP="00E61F4E">
      <w:pPr>
        <w:pStyle w:val="Heading4"/>
      </w:pPr>
      <w:r>
        <w:t>Interpretive Specialist</w:t>
      </w:r>
    </w:p>
    <w:p w14:paraId="709D6130" w14:textId="66C7A828" w:rsidR="00217746" w:rsidRPr="00217746" w:rsidRDefault="00217746" w:rsidP="00E61F4E">
      <w:r w:rsidRPr="00217746">
        <w:t xml:space="preserve">As an indicated need described in Chapter 2, the Interpretive Specialist </w:t>
      </w:r>
      <w:r w:rsidR="00F944D5">
        <w:t>(California job classification State Park Interpreter I) will play</w:t>
      </w:r>
      <w:r w:rsidRPr="00217746">
        <w:t xml:space="preserve"> a critical role in conveying the National Heritage Area's unique story and heritage to visitors, fostering a deeper appreciation for its cultural and historical significance. The Interpretive Specialist in the National Heritage Area is responsible for developing and implementing interpretive programs and exhibits that help visitors and </w:t>
      </w:r>
      <w:r w:rsidRPr="00217746">
        <w:lastRenderedPageBreak/>
        <w:t xml:space="preserve">residents connect with and gain a deeper understanding of the NHA's cultural and historical significance. The Interpretive Specialist plays a vital part in fostering an appreciation for the </w:t>
      </w:r>
      <w:r w:rsidR="002C5070">
        <w:t xml:space="preserve">region's </w:t>
      </w:r>
      <w:r w:rsidRPr="00217746">
        <w:t>heritage, promoting education, and enriching the knowledge and understanding of the region.</w:t>
      </w:r>
    </w:p>
    <w:p w14:paraId="4EF63127" w14:textId="6D2EF14C" w:rsidR="00744746" w:rsidRDefault="00755C54" w:rsidP="00E61F4E">
      <w:pPr>
        <w:pStyle w:val="Heading4"/>
      </w:pPr>
      <w:r>
        <w:t xml:space="preserve">Historic Preservation </w:t>
      </w:r>
      <w:r w:rsidR="003D4A18">
        <w:t>Specialist</w:t>
      </w:r>
    </w:p>
    <w:p w14:paraId="67BF2BA3" w14:textId="05E29AB8" w:rsidR="00217746" w:rsidRPr="00217746" w:rsidRDefault="00EA60A8" w:rsidP="00E61F4E">
      <w:r>
        <w:t xml:space="preserve">A historic preservation specialist </w:t>
      </w:r>
      <w:r w:rsidR="00F944D5">
        <w:t xml:space="preserve">(California job classification State Historian I) </w:t>
      </w:r>
      <w:r>
        <w:t>i</w:t>
      </w:r>
      <w:r w:rsidR="00F944D5">
        <w:t>n a National Heritage Area will play</w:t>
      </w:r>
      <w:r>
        <w:t xml:space="preserve"> a pivotal role in identifying, documenting, assessing, and conserving historic</w:t>
      </w:r>
      <w:r w:rsidR="00217746" w:rsidRPr="00217746">
        <w:t xml:space="preserve"> structures, landmarks, and artifacts. They work to ensure the preservation of architectural, archival, and cultural heritage, promoting a sense of place and history that enriches the NHA's unique character and educates visitors and residents.</w:t>
      </w:r>
    </w:p>
    <w:p w14:paraId="39C124AE" w14:textId="51D251CC" w:rsidR="00744746" w:rsidRDefault="003D4A18" w:rsidP="00E61F4E">
      <w:pPr>
        <w:pStyle w:val="Heading4"/>
      </w:pPr>
      <w:r>
        <w:t>Ethnographer</w:t>
      </w:r>
    </w:p>
    <w:p w14:paraId="2BF9F62A" w14:textId="27EEBF7E" w:rsidR="00217746" w:rsidRPr="00217746" w:rsidRDefault="00F944D5" w:rsidP="00E61F4E">
      <w:r>
        <w:t xml:space="preserve">An ethnographer (California job classification Assistant State Archeologist) in the Sacramento- San Joaquin Delta National Heritage Area will serve </w:t>
      </w:r>
      <w:r w:rsidR="00217746" w:rsidRPr="00217746">
        <w:t>as a cultural researcher and documenter, conducting fieldwork to study and record the traditions, customs, and practices of the local communities within the heritage area. Their role is to preserve and share the rich cultural tapestry of the region, providing valuable insights to support heritage conservation, community engagement, and educational initiatives.</w:t>
      </w:r>
    </w:p>
    <w:p w14:paraId="31B0B55C" w14:textId="01D3F67F" w:rsidR="00744746" w:rsidRDefault="008A1BA1" w:rsidP="00E61F4E">
      <w:pPr>
        <w:pStyle w:val="Heading4"/>
      </w:pPr>
      <w:r>
        <w:t xml:space="preserve">Grant Writing </w:t>
      </w:r>
      <w:r w:rsidR="003D4A18">
        <w:t>Specialist</w:t>
      </w:r>
    </w:p>
    <w:p w14:paraId="6377725B" w14:textId="1326C67D" w:rsidR="00217746" w:rsidRPr="00217746" w:rsidRDefault="00217746" w:rsidP="00E61F4E">
      <w:r w:rsidRPr="00217746">
        <w:t>The Fundraisi</w:t>
      </w:r>
      <w:r w:rsidR="00F944D5">
        <w:t xml:space="preserve">ng and Development Specialist (California job classification Associate </w:t>
      </w:r>
      <w:r w:rsidR="007134F0">
        <w:t>Government Program Analyst</w:t>
      </w:r>
      <w:r w:rsidR="00F944D5">
        <w:t>) will be</w:t>
      </w:r>
      <w:r w:rsidRPr="00217746">
        <w:t xml:space="preserve"> instrumental in securing the financial resources necessary to preserve and promote the </w:t>
      </w:r>
      <w:r w:rsidR="00F944D5">
        <w:t xml:space="preserve">Sacramento San Joaquin Delta </w:t>
      </w:r>
      <w:r w:rsidRPr="00217746">
        <w:t>National Heritage Area's cultural and historical heritage, ensuring its continued growth and impact, including donor and foundation cultivation and support, grant writing, fundraising events, and an overarching fundraising strategy for the National Heritage Area.</w:t>
      </w:r>
    </w:p>
    <w:p w14:paraId="4A908377" w14:textId="6F4F5907" w:rsidR="00AC5C4E" w:rsidRPr="00AC5C4E" w:rsidRDefault="005F6EFA" w:rsidP="00E61F4E">
      <w:pPr>
        <w:pStyle w:val="Heading3"/>
      </w:pPr>
      <w:r>
        <w:t xml:space="preserve">Strategy </w:t>
      </w:r>
      <w:r w:rsidR="006C6009">
        <w:t xml:space="preserve">5.2.3 </w:t>
      </w:r>
      <w:r w:rsidR="00F51755" w:rsidRPr="00E678BA">
        <w:t>The NHA Management Plan</w:t>
      </w:r>
      <w:r w:rsidR="00412EEA">
        <w:t xml:space="preserve"> Advisory Committee will be </w:t>
      </w:r>
      <w:r w:rsidR="00F51755" w:rsidRPr="00E678BA">
        <w:t>involved in the implementation of the management plan</w:t>
      </w:r>
      <w:r w:rsidR="00412EEA">
        <w:t xml:space="preserve"> in a restructured role</w:t>
      </w:r>
      <w:r w:rsidR="002E4DF3">
        <w:t xml:space="preserve">, </w:t>
      </w:r>
      <w:r w:rsidR="00F51755" w:rsidRPr="00E678BA">
        <w:t>provide counsel on recommendations for policy, process, and governance, and act as ambassadors to the partners and communities in the NHA.</w:t>
      </w:r>
    </w:p>
    <w:p w14:paraId="2CA6B7EA" w14:textId="799A641A" w:rsidR="00AC5C4E" w:rsidRPr="00AC5C4E" w:rsidRDefault="00AC5C4E" w:rsidP="00E61F4E">
      <w:r>
        <w:t>The NHA Advisory Committee, described earlier in this chapter, was established at the beginning of the management planning process. It holds a crucial role in providing recommenda</w:t>
      </w:r>
      <w:r w:rsidR="00CC318A">
        <w:t>tions to the Delta Protection Co</w:t>
      </w:r>
      <w:r>
        <w:t xml:space="preserve">mmission. Throughout the planning </w:t>
      </w:r>
      <w:r w:rsidR="00CC318A">
        <w:t>process,</w:t>
      </w:r>
      <w:r>
        <w:t xml:space="preserve"> the Advisory Committee</w:t>
      </w:r>
      <w:r w:rsidR="00CC318A">
        <w:t xml:space="preserve"> actively sought</w:t>
      </w:r>
      <w:r w:rsidR="00EA60A8">
        <w:t xml:space="preserve"> input from and represented</w:t>
      </w:r>
      <w:r>
        <w:t xml:space="preserve"> a wide array of stakeholders, including government entities, businesses, landowners, community representatives, cultural and natural resource advocates, recreational organizations, and the public.</w:t>
      </w:r>
    </w:p>
    <w:p w14:paraId="226FB6FA" w14:textId="5FC48646" w:rsidR="001D17AD" w:rsidRPr="001D17AD" w:rsidRDefault="00412EEA" w:rsidP="00E61F4E">
      <w:r>
        <w:t xml:space="preserve">In looking </w:t>
      </w:r>
      <w:r w:rsidR="00833FEA">
        <w:t>ahead,</w:t>
      </w:r>
      <w:r>
        <w:t xml:space="preserve"> the DPC should restructure the NHA </w:t>
      </w:r>
      <w:r w:rsidR="001D17AD">
        <w:t>Advisory Commit</w:t>
      </w:r>
      <w:r>
        <w:t>tee</w:t>
      </w:r>
      <w:r w:rsidR="002E4DF3">
        <w:t xml:space="preserve"> DPC </w:t>
      </w:r>
      <w:r w:rsidR="001D17AD" w:rsidRPr="001D17AD">
        <w:t>with an expanded role as we</w:t>
      </w:r>
      <w:r w:rsidR="00EA60A8">
        <w:t>ll as ensuring it continues to</w:t>
      </w:r>
      <w:r w:rsidR="001D17AD" w:rsidRPr="001D17AD">
        <w:t xml:space="preserve"> have</w:t>
      </w:r>
      <w:r w:rsidR="00744746">
        <w:t xml:space="preserve"> </w:t>
      </w:r>
      <w:r w:rsidR="001D17AD" w:rsidRPr="001D17AD">
        <w:t>representation from each of the counties within the NHA.</w:t>
      </w:r>
      <w:r w:rsidR="001D7B56">
        <w:t xml:space="preserve"> </w:t>
      </w:r>
      <w:r w:rsidR="00FA49DF">
        <w:t xml:space="preserve">When Delta residents were asked </w:t>
      </w:r>
      <w:r w:rsidR="00FA49DF">
        <w:lastRenderedPageBreak/>
        <w:t xml:space="preserve">about their confidence in governmental agencies in the </w:t>
      </w:r>
      <w:r w:rsidR="001D7B56">
        <w:t>Delta Residents Survey</w:t>
      </w:r>
      <w:r w:rsidR="00FA49DF">
        <w:t xml:space="preserve">, respondents said they placed </w:t>
      </w:r>
      <w:r w:rsidR="00BC4A78">
        <w:t xml:space="preserve">significant </w:t>
      </w:r>
      <w:r w:rsidR="001D7B56">
        <w:t xml:space="preserve">trust in </w:t>
      </w:r>
      <w:r w:rsidR="00BC4A78">
        <w:t>community</w:t>
      </w:r>
      <w:r w:rsidR="001D7B56">
        <w:t xml:space="preserve"> advisory groups.</w:t>
      </w:r>
      <w:r w:rsidR="00FA49DF">
        <w:rPr>
          <w:rStyle w:val="FootnoteReference"/>
          <w:iCs/>
        </w:rPr>
        <w:footnoteReference w:id="3"/>
      </w:r>
      <w:r w:rsidR="00FA49DF">
        <w:t xml:space="preserve"> As such, the </w:t>
      </w:r>
      <w:r w:rsidR="001D7B56">
        <w:t xml:space="preserve">NHA Advisory Committee, working in collaboration with the DPC, </w:t>
      </w:r>
      <w:r w:rsidR="00FA49DF">
        <w:t>will be an effective entity to foster and maintain community engagement for the NHA.</w:t>
      </w:r>
    </w:p>
    <w:p w14:paraId="32CB587B" w14:textId="0C59FB25" w:rsidR="001D17AD" w:rsidRPr="001D17AD" w:rsidRDefault="001D17AD" w:rsidP="00E61F4E">
      <w:r w:rsidRPr="001D17AD">
        <w:t xml:space="preserve">The role of the NHA </w:t>
      </w:r>
      <w:r w:rsidR="002E4DF3">
        <w:t xml:space="preserve">Advisory Committee </w:t>
      </w:r>
      <w:r w:rsidRPr="001D17AD">
        <w:t>will be to:</w:t>
      </w:r>
    </w:p>
    <w:p w14:paraId="3E0E4159" w14:textId="431BC9D6" w:rsidR="001D17AD" w:rsidRPr="001D17AD" w:rsidRDefault="001D17AD" w:rsidP="00E61F4E">
      <w:pPr>
        <w:pStyle w:val="ListBullet"/>
      </w:pPr>
      <w:r w:rsidRPr="001D17AD">
        <w:t xml:space="preserve">Continue the role of the community partners with membership representation from </w:t>
      </w:r>
      <w:r w:rsidR="00EB406A">
        <w:t xml:space="preserve">the fields of </w:t>
      </w:r>
      <w:r w:rsidRPr="001D17AD">
        <w:t>cultural heritage, natural resources, education, tourism, recreation, and community engagement within the NHA counties, with a balanced representation of the counties of the NHA.</w:t>
      </w:r>
    </w:p>
    <w:p w14:paraId="43EDC4EE" w14:textId="77777777" w:rsidR="001D17AD" w:rsidRPr="001D17AD" w:rsidRDefault="001D17AD" w:rsidP="00E61F4E">
      <w:pPr>
        <w:pStyle w:val="ListBullet"/>
      </w:pPr>
      <w:r w:rsidRPr="001D17AD">
        <w:t>Provide insights, recommendations, and feedback to enhance the effectiveness of the organization's programs.</w:t>
      </w:r>
    </w:p>
    <w:p w14:paraId="13A8B0E3" w14:textId="77777777" w:rsidR="001D17AD" w:rsidRPr="001D17AD" w:rsidRDefault="001D17AD" w:rsidP="00E61F4E">
      <w:pPr>
        <w:pStyle w:val="ListBullet"/>
      </w:pPr>
      <w:r w:rsidRPr="001D17AD">
        <w:t>Act as a bridge between the organization and the broader community.</w:t>
      </w:r>
    </w:p>
    <w:p w14:paraId="4996A073" w14:textId="77777777" w:rsidR="001D17AD" w:rsidRPr="001D17AD" w:rsidRDefault="001D17AD" w:rsidP="00E61F4E">
      <w:pPr>
        <w:pStyle w:val="ListBullet"/>
      </w:pPr>
      <w:r w:rsidRPr="001D17AD">
        <w:t>Review, evaluate, and make recommendations on grant applications to the NHA.</w:t>
      </w:r>
    </w:p>
    <w:p w14:paraId="32962728" w14:textId="6DB1A36C" w:rsidR="001D17AD" w:rsidRPr="001D17AD" w:rsidRDefault="001D17AD" w:rsidP="00E61F4E">
      <w:pPr>
        <w:pStyle w:val="ListBullet"/>
      </w:pPr>
      <w:r w:rsidRPr="001D17AD">
        <w:t xml:space="preserve">Establish systems to measure the impact of the </w:t>
      </w:r>
      <w:r w:rsidR="00744746">
        <w:t>NHA's</w:t>
      </w:r>
      <w:r w:rsidR="00744746" w:rsidRPr="001D17AD">
        <w:t xml:space="preserve"> </w:t>
      </w:r>
      <w:r w:rsidRPr="001D17AD">
        <w:t>initiatives and gather feedback from stakeholders.</w:t>
      </w:r>
    </w:p>
    <w:p w14:paraId="4568F908" w14:textId="77777777" w:rsidR="001D17AD" w:rsidRPr="001D17AD" w:rsidRDefault="001D17AD" w:rsidP="00E61F4E">
      <w:pPr>
        <w:pStyle w:val="ListBullet"/>
      </w:pPr>
      <w:r w:rsidRPr="001D17AD">
        <w:t>Analyze data to make informed decisions and improve program effectiveness.</w:t>
      </w:r>
    </w:p>
    <w:p w14:paraId="67267707" w14:textId="04BB7D17" w:rsidR="001D17AD" w:rsidRPr="001D17AD" w:rsidRDefault="001D17AD" w:rsidP="00E61F4E">
      <w:pPr>
        <w:pStyle w:val="ListBullet"/>
      </w:pPr>
      <w:r w:rsidRPr="001D17AD">
        <w:t xml:space="preserve">Report regularly (yearly at least) to </w:t>
      </w:r>
      <w:r w:rsidR="00744746">
        <w:t xml:space="preserve">the </w:t>
      </w:r>
      <w:r w:rsidRPr="001D17AD">
        <w:t>Delta Protection Commission on t</w:t>
      </w:r>
      <w:r w:rsidR="00396CD8">
        <w:t>he work of the NHA measured</w:t>
      </w:r>
      <w:r w:rsidRPr="001D17AD">
        <w:t xml:space="preserve"> against the management plan and the enacting legislation.</w:t>
      </w:r>
    </w:p>
    <w:p w14:paraId="49B1408D" w14:textId="47178C1C" w:rsidR="001D17AD" w:rsidRPr="001D17AD" w:rsidRDefault="001D17AD" w:rsidP="00E61F4E">
      <w:pPr>
        <w:pStyle w:val="ListBullet"/>
      </w:pPr>
      <w:r w:rsidRPr="001D17AD">
        <w:t>Members of the NHA</w:t>
      </w:r>
      <w:r w:rsidR="002C5070">
        <w:t xml:space="preserve"> </w:t>
      </w:r>
      <w:r w:rsidR="002E4DF3">
        <w:t>Advisory Committee</w:t>
      </w:r>
      <w:r w:rsidRPr="001D17AD">
        <w:t xml:space="preserve"> </w:t>
      </w:r>
      <w:r w:rsidR="008A545D">
        <w:t xml:space="preserve">may </w:t>
      </w:r>
      <w:r w:rsidRPr="001D17AD">
        <w:t xml:space="preserve">be </w:t>
      </w:r>
      <w:r w:rsidR="008A545D">
        <w:t xml:space="preserve">appointed </w:t>
      </w:r>
      <w:r w:rsidRPr="001D17AD">
        <w:t>to serve a single three (3) year term, with the ability to be re-nominated for another two terms before rotating off the Advisory Board.</w:t>
      </w:r>
    </w:p>
    <w:p w14:paraId="48DABFDF" w14:textId="144D4A27" w:rsidR="00F51755" w:rsidRPr="00E678BA" w:rsidRDefault="005F6EFA" w:rsidP="00E61F4E">
      <w:pPr>
        <w:pStyle w:val="Heading3"/>
      </w:pPr>
      <w:r>
        <w:t xml:space="preserve">Strategy </w:t>
      </w:r>
      <w:r w:rsidR="006C6009">
        <w:t xml:space="preserve">5.2.4 </w:t>
      </w:r>
      <w:r w:rsidR="00F51755" w:rsidRPr="00E678BA">
        <w:t>The DPC staf</w:t>
      </w:r>
      <w:r w:rsidR="002E4DF3">
        <w:t>f and the NHA</w:t>
      </w:r>
      <w:r w:rsidR="002C5070">
        <w:t xml:space="preserve"> </w:t>
      </w:r>
      <w:r w:rsidR="002E4DF3">
        <w:t>Advisory Committee</w:t>
      </w:r>
      <w:r w:rsidR="00F51755" w:rsidRPr="00E678BA">
        <w:t xml:space="preserve"> will establish task groups</w:t>
      </w:r>
      <w:r w:rsidR="004C1387">
        <w:t>,</w:t>
      </w:r>
      <w:r w:rsidR="00F51755" w:rsidRPr="00E678BA">
        <w:t xml:space="preserve"> as necessary</w:t>
      </w:r>
      <w:r w:rsidR="004C1387">
        <w:t>,</w:t>
      </w:r>
      <w:r w:rsidR="00F51755" w:rsidRPr="00E678BA">
        <w:t xml:space="preserve"> </w:t>
      </w:r>
      <w:proofErr w:type="gramStart"/>
      <w:r w:rsidR="00F51755" w:rsidRPr="00E678BA">
        <w:t>in order to</w:t>
      </w:r>
      <w:proofErr w:type="gramEnd"/>
      <w:r w:rsidR="00F51755" w:rsidRPr="00E678BA">
        <w:t xml:space="preserve"> implement specific goals, objectives, and strate</w:t>
      </w:r>
      <w:r w:rsidR="007E6515">
        <w:t>gies of the management plan</w:t>
      </w:r>
      <w:r w:rsidR="00DD660C">
        <w:t>.</w:t>
      </w:r>
    </w:p>
    <w:p w14:paraId="1837567B" w14:textId="541BC92C" w:rsidR="00DD660C" w:rsidRPr="00DD660C" w:rsidRDefault="00EA60A8" w:rsidP="00E61F4E">
      <w:r>
        <w:t>The task g</w:t>
      </w:r>
      <w:r w:rsidR="00DD660C" w:rsidRPr="00DD660C">
        <w:t>roups listed below are suggested – not mandated – and, therefore, should o</w:t>
      </w:r>
      <w:r w:rsidR="002E4DF3">
        <w:t>nly be created if the NHA Advisory Committee</w:t>
      </w:r>
      <w:r>
        <w:t xml:space="preserve"> and the</w:t>
      </w:r>
      <w:r w:rsidR="00DD660C" w:rsidRPr="00DD660C">
        <w:t xml:space="preserve"> DPC staff deem them </w:t>
      </w:r>
      <w:r w:rsidR="00DD660C">
        <w:t xml:space="preserve">to be </w:t>
      </w:r>
      <w:r w:rsidR="00DD660C" w:rsidRPr="00DD660C">
        <w:t xml:space="preserve">necessary. </w:t>
      </w:r>
    </w:p>
    <w:p w14:paraId="1DFD6076" w14:textId="454D8A66" w:rsidR="00DD660C" w:rsidRPr="00DD660C" w:rsidRDefault="00EA60A8" w:rsidP="00E61F4E">
      <w:r>
        <w:t xml:space="preserve">Each task </w:t>
      </w:r>
      <w:r w:rsidR="00DD660C" w:rsidRPr="00DD660C">
        <w:t xml:space="preserve">group shall focus on a specific responsibility, outreach to local communities, </w:t>
      </w:r>
      <w:r w:rsidR="00744746">
        <w:t xml:space="preserve">convening partners, </w:t>
      </w:r>
      <w:r w:rsidR="00DD660C" w:rsidRPr="00DD660C">
        <w:t>and ensuring active participation in decision-makin</w:t>
      </w:r>
      <w:r>
        <w:t xml:space="preserve">g processes. In addition, task </w:t>
      </w:r>
      <w:r w:rsidR="00DD660C" w:rsidRPr="00DD660C">
        <w:t>group members should help organize community events, worksho</w:t>
      </w:r>
      <w:r>
        <w:t xml:space="preserve">ps, and forums within the task </w:t>
      </w:r>
      <w:r w:rsidR="00DD660C" w:rsidRPr="00DD660C">
        <w:t>group focus areas to gather input and address concerns.</w:t>
      </w:r>
    </w:p>
    <w:p w14:paraId="52246B76" w14:textId="7F1B3FC5" w:rsidR="00DD660C" w:rsidRPr="00DD660C" w:rsidRDefault="00DD660C" w:rsidP="00E61F4E">
      <w:pPr>
        <w:pStyle w:val="Heading4"/>
      </w:pPr>
      <w:r w:rsidRPr="00DD660C">
        <w:t>Heritage Resource Stewar</w:t>
      </w:r>
      <w:r w:rsidR="00EA60A8">
        <w:t>dship and Enhancement</w:t>
      </w:r>
      <w:r w:rsidRPr="00DD660C">
        <w:t xml:space="preserve"> Task Group (Existing)</w:t>
      </w:r>
    </w:p>
    <w:p w14:paraId="5A3B6D66" w14:textId="77777777" w:rsidR="00DD660C" w:rsidRPr="00DD660C" w:rsidRDefault="00DD660C" w:rsidP="00E61F4E">
      <w:pPr>
        <w:pStyle w:val="ListBullet"/>
      </w:pPr>
      <w:r w:rsidRPr="00DD660C">
        <w:t>Conducts and oversees research to deepen understanding of the heritage area's history, culture, and environment.</w:t>
      </w:r>
    </w:p>
    <w:p w14:paraId="34E0D299" w14:textId="77777777" w:rsidR="00DD660C" w:rsidRPr="00DD660C" w:rsidRDefault="00DD660C" w:rsidP="00E61F4E">
      <w:pPr>
        <w:pStyle w:val="ListBullet"/>
      </w:pPr>
      <w:r w:rsidRPr="00DD660C">
        <w:lastRenderedPageBreak/>
        <w:t>Assists with the preservation of the built environment and conservation of cultural heritage.</w:t>
      </w:r>
    </w:p>
    <w:p w14:paraId="4E6A3E7F" w14:textId="77777777" w:rsidR="0049201F" w:rsidRDefault="00DD660C" w:rsidP="00E61F4E">
      <w:pPr>
        <w:pStyle w:val="ListBullet"/>
      </w:pPr>
      <w:r w:rsidRPr="00DD660C">
        <w:t xml:space="preserve">Coordinates partners and convenes meetings with historic preservation interests, </w:t>
      </w:r>
    </w:p>
    <w:p w14:paraId="2FFC0AAE" w14:textId="7C50AB87" w:rsidR="00DD660C" w:rsidRPr="00DD660C" w:rsidRDefault="0049201F" w:rsidP="00E61F4E">
      <w:pPr>
        <w:pStyle w:val="ListBullet"/>
      </w:pPr>
      <w:r>
        <w:t xml:space="preserve">Supports </w:t>
      </w:r>
      <w:r w:rsidR="00A70F0B">
        <w:t>organizations working to conserve living traditions and curate</w:t>
      </w:r>
      <w:r>
        <w:t xml:space="preserve"> h</w:t>
      </w:r>
      <w:r w:rsidR="00DD660C" w:rsidRPr="00DD660C">
        <w:t>is</w:t>
      </w:r>
      <w:r w:rsidR="00A70F0B">
        <w:t>torical archives</w:t>
      </w:r>
      <w:r w:rsidR="00DD660C" w:rsidRPr="00DD660C">
        <w:t>.</w:t>
      </w:r>
    </w:p>
    <w:p w14:paraId="7332798B" w14:textId="77777777" w:rsidR="00DD660C" w:rsidRPr="00DD660C" w:rsidRDefault="00DD660C" w:rsidP="00E61F4E">
      <w:pPr>
        <w:pStyle w:val="ListBullet"/>
      </w:pPr>
      <w:r w:rsidRPr="00DD660C">
        <w:t>Contributes to educational and interpretation materials.</w:t>
      </w:r>
    </w:p>
    <w:p w14:paraId="0EB98D70" w14:textId="1A31FE6F" w:rsidR="00744746" w:rsidRPr="00DD660C" w:rsidRDefault="00744746" w:rsidP="00E61F4E">
      <w:pPr>
        <w:pStyle w:val="Heading4"/>
      </w:pPr>
      <w:r w:rsidRPr="00DD660C">
        <w:t>Interpret</w:t>
      </w:r>
      <w:r w:rsidR="000B25C3">
        <w:t>ive</w:t>
      </w:r>
      <w:r w:rsidRPr="00DD660C">
        <w:t xml:space="preserve"> </w:t>
      </w:r>
      <w:r w:rsidR="000B25C3">
        <w:t xml:space="preserve">Planning </w:t>
      </w:r>
      <w:r w:rsidRPr="00DD660C">
        <w:t>Task Group (Existing)</w:t>
      </w:r>
    </w:p>
    <w:p w14:paraId="7F73CA97" w14:textId="43C622BC" w:rsidR="00744746" w:rsidRPr="00DD660C" w:rsidRDefault="00744746" w:rsidP="00E61F4E">
      <w:pPr>
        <w:pStyle w:val="ListBullet"/>
      </w:pPr>
      <w:r w:rsidRPr="00DD660C">
        <w:t>T</w:t>
      </w:r>
      <w:r w:rsidR="0049201F">
        <w:t>his task group, which served as the interpretive planning task group during management planning, will work</w:t>
      </w:r>
      <w:r w:rsidRPr="00DD660C">
        <w:t xml:space="preserve"> with DPC staff to advise and recommend the development of educational materials, workshops, tours, and other resources to engage the public and promote awareness of the NHA's significance.</w:t>
      </w:r>
    </w:p>
    <w:p w14:paraId="182FF8F2" w14:textId="77777777" w:rsidR="00744746" w:rsidRPr="00DD660C" w:rsidRDefault="00744746" w:rsidP="00E61F4E">
      <w:pPr>
        <w:pStyle w:val="ListBullet"/>
      </w:pPr>
      <w:r w:rsidRPr="00DD660C">
        <w:t>Works with schools, universities, and community groups to help to develop educational programs.</w:t>
      </w:r>
    </w:p>
    <w:p w14:paraId="726DBC82" w14:textId="77777777" w:rsidR="00DD660C" w:rsidRPr="00744746" w:rsidRDefault="00DD660C" w:rsidP="00E61F4E">
      <w:pPr>
        <w:pStyle w:val="Heading4"/>
      </w:pPr>
      <w:r w:rsidRPr="00744746">
        <w:t>Heritage Tourism Task Group (Existing)</w:t>
      </w:r>
    </w:p>
    <w:p w14:paraId="76E5C088" w14:textId="77777777" w:rsidR="00DD660C" w:rsidRPr="00DD660C" w:rsidRDefault="00DD660C" w:rsidP="00E61F4E">
      <w:pPr>
        <w:pStyle w:val="ListBullet"/>
      </w:pPr>
      <w:r w:rsidRPr="00DD660C">
        <w:t>This existing task group works with the DPC staff to advise and recommend responsible tourism initiatives that contribute to the local economy while preserving the NHA's integrity.</w:t>
      </w:r>
    </w:p>
    <w:p w14:paraId="6718249B" w14:textId="19655015" w:rsidR="00DD660C" w:rsidRPr="00DD660C" w:rsidRDefault="00DD660C" w:rsidP="00E61F4E">
      <w:pPr>
        <w:pStyle w:val="ListBullet"/>
      </w:pPr>
      <w:r w:rsidRPr="00DD660C">
        <w:t xml:space="preserve">Collaborates </w:t>
      </w:r>
      <w:r w:rsidR="00A0422E">
        <w:t xml:space="preserve">with </w:t>
      </w:r>
      <w:r w:rsidRPr="00DD660C">
        <w:t>partners and convenes meeting</w:t>
      </w:r>
      <w:r w:rsidR="00A0422E">
        <w:t>s</w:t>
      </w:r>
      <w:r w:rsidRPr="00DD660C">
        <w:t xml:space="preserve"> with local businesses, tourism boards, and marketing professionals to attract visitors.</w:t>
      </w:r>
    </w:p>
    <w:p w14:paraId="2E7B7A19" w14:textId="77777777" w:rsidR="00DD660C" w:rsidRPr="00DD660C" w:rsidRDefault="00DD660C" w:rsidP="00E61F4E">
      <w:pPr>
        <w:pStyle w:val="ListBullet"/>
      </w:pPr>
      <w:r w:rsidRPr="00DD660C">
        <w:t>Supports existing interpretive providers.</w:t>
      </w:r>
    </w:p>
    <w:p w14:paraId="747E4681" w14:textId="77777777" w:rsidR="00744746" w:rsidRPr="00DD660C" w:rsidRDefault="00744746" w:rsidP="00E61F4E">
      <w:pPr>
        <w:pStyle w:val="Heading4"/>
      </w:pPr>
      <w:r w:rsidRPr="00DD660C">
        <w:t>Communications and Marketing Task Group (New)</w:t>
      </w:r>
    </w:p>
    <w:p w14:paraId="2B63C670" w14:textId="77777777" w:rsidR="00744746" w:rsidRPr="00DD660C" w:rsidRDefault="00744746" w:rsidP="00E61F4E">
      <w:pPr>
        <w:pStyle w:val="ListBullet"/>
      </w:pPr>
      <w:r w:rsidRPr="00DD660C">
        <w:t>Advises on the organization's communication efforts, including social media, website, public relations, and marketing campaigns.</w:t>
      </w:r>
    </w:p>
    <w:p w14:paraId="2DC08F08" w14:textId="77777777" w:rsidR="00744746" w:rsidRPr="00DD660C" w:rsidRDefault="00744746" w:rsidP="00E61F4E">
      <w:pPr>
        <w:pStyle w:val="ListBullet"/>
      </w:pPr>
      <w:r w:rsidRPr="00DD660C">
        <w:t>Shares success stories, updates, and relevant information to engage stakeholders and the public.</w:t>
      </w:r>
    </w:p>
    <w:p w14:paraId="4F3BDF4D" w14:textId="77777777" w:rsidR="00744746" w:rsidRPr="00DD660C" w:rsidRDefault="00744746" w:rsidP="00E61F4E">
      <w:pPr>
        <w:pStyle w:val="Heading4"/>
      </w:pPr>
      <w:r w:rsidRPr="00DD660C">
        <w:t>Conservation Resources Task Group (New)</w:t>
      </w:r>
    </w:p>
    <w:p w14:paraId="46F26C0E" w14:textId="77777777" w:rsidR="00744746" w:rsidRPr="00DD660C" w:rsidRDefault="00744746" w:rsidP="00E61F4E">
      <w:pPr>
        <w:pStyle w:val="ListBullet"/>
      </w:pPr>
      <w:r w:rsidRPr="00DD660C">
        <w:t>Responsible for advancing those goals, objectives, and strategies of the NHA that address the natural resources within the NHA.</w:t>
      </w:r>
    </w:p>
    <w:p w14:paraId="08078633" w14:textId="1082A2FB" w:rsidR="00F51755" w:rsidRDefault="00744746" w:rsidP="00E61F4E">
      <w:pPr>
        <w:pStyle w:val="ListBullet"/>
      </w:pPr>
      <w:r w:rsidRPr="00DD660C">
        <w:t>Collaborates with other Delta state agencies, environmental organizations, and local communities on natural resource conservation efforts that contribute to the NHA’s programs and projects.</w:t>
      </w:r>
    </w:p>
    <w:p w14:paraId="7610996A" w14:textId="0756F982" w:rsidR="009369C1" w:rsidRPr="007A055F" w:rsidRDefault="00A62611" w:rsidP="00E61F4E">
      <w:pPr>
        <w:pStyle w:val="Heading2"/>
      </w:pPr>
      <w:r w:rsidRPr="007A055F">
        <w:t>Financial Needs of the Sacramento-San Joaquin Delta National Heritage Area</w:t>
      </w:r>
    </w:p>
    <w:p w14:paraId="0091F7D5" w14:textId="03B7F93E" w:rsidR="009369C1" w:rsidRDefault="009428A8" w:rsidP="00E61F4E">
      <w:r>
        <w:t xml:space="preserve">As the Sacramento-San Joaquin Delta National Heritage Area is housed within the Delta Protection Commission, portions of </w:t>
      </w:r>
      <w:r w:rsidR="006B0D95">
        <w:t xml:space="preserve">the </w:t>
      </w:r>
      <w:r>
        <w:t>D</w:t>
      </w:r>
      <w:r w:rsidR="006B0D95">
        <w:t>P</w:t>
      </w:r>
      <w:r>
        <w:t xml:space="preserve">C's operating budget </w:t>
      </w:r>
      <w:r w:rsidR="00592999">
        <w:t>are</w:t>
      </w:r>
      <w:r>
        <w:t xml:space="preserve"> assigned to the annual operating cost of managing the NHA along with the proposed programs, projects, grants, and overhead. These costs are estimates based </w:t>
      </w:r>
      <w:r w:rsidR="00592999">
        <w:t>on actual operational costs</w:t>
      </w:r>
      <w:r>
        <w:t xml:space="preserve"> provided by </w:t>
      </w:r>
      <w:r w:rsidR="006B0D95">
        <w:t xml:space="preserve">the </w:t>
      </w:r>
      <w:r>
        <w:t xml:space="preserve">DPC. </w:t>
      </w:r>
    </w:p>
    <w:p w14:paraId="4E9161C6" w14:textId="1936CE43" w:rsidR="00A62611" w:rsidRDefault="00592999" w:rsidP="00E61F4E">
      <w:r>
        <w:lastRenderedPageBreak/>
        <w:t xml:space="preserve">In addition, </w:t>
      </w:r>
      <w:r w:rsidRPr="0023354B">
        <w:rPr>
          <w:i/>
        </w:rPr>
        <w:t>Vision 2030</w:t>
      </w:r>
      <w:r>
        <w:t xml:space="preserve">, the strategic plan for the Delta Protection Commission, laid out a strategy of leveraging sufficient funding for </w:t>
      </w:r>
      <w:r w:rsidR="006B0D95">
        <w:t xml:space="preserve">the </w:t>
      </w:r>
      <w:r>
        <w:t xml:space="preserve">DPC to accomplish its mission, including financially supporting and growing the Sacramento-San Joaquin Delta National Heritage Area. </w:t>
      </w:r>
      <w:r w:rsidR="0023354B">
        <w:t>On funding matters s</w:t>
      </w:r>
      <w:r>
        <w:t xml:space="preserve">pecifically, </w:t>
      </w:r>
      <w:r w:rsidRPr="0023354B">
        <w:rPr>
          <w:i/>
        </w:rPr>
        <w:t>Vision 2030</w:t>
      </w:r>
      <w:r>
        <w:t xml:space="preserve"> stated:</w:t>
      </w:r>
    </w:p>
    <w:p w14:paraId="69B048FD" w14:textId="18C9B467" w:rsidR="00592999" w:rsidRPr="00592999" w:rsidRDefault="007A055F" w:rsidP="00E61F4E">
      <w:r>
        <w:t>"</w:t>
      </w:r>
      <w:r w:rsidR="00592999" w:rsidRPr="00592999">
        <w:t>To accomplish its initiatives to the fullest degree, the Delta Protection Commission seeks to maximize available funding sources to protect and enhance the unique community and cultural values, recreation and tourism, natural resources, and agriculture of the Delta.</w:t>
      </w:r>
    </w:p>
    <w:p w14:paraId="5F564853" w14:textId="77777777" w:rsidR="00592999" w:rsidRPr="00592999" w:rsidRDefault="00592999" w:rsidP="00E61F4E">
      <w:r w:rsidRPr="00592999">
        <w:t>Objectives:</w:t>
      </w:r>
    </w:p>
    <w:p w14:paraId="7BB9FC73" w14:textId="77777777" w:rsidR="00592999" w:rsidRPr="00592999" w:rsidRDefault="00592999" w:rsidP="00E61F4E">
      <w:r w:rsidRPr="00592999">
        <w:t>F.1 Continuously research, identify, and develop funding sources to support Commission operations and worthy and compatible activities in the Delta.</w:t>
      </w:r>
    </w:p>
    <w:p w14:paraId="67DDB28E" w14:textId="5DB9185F" w:rsidR="00592999" w:rsidRPr="00592999" w:rsidRDefault="00592999" w:rsidP="00E61F4E">
      <w:r w:rsidRPr="00592999">
        <w:t xml:space="preserve">1.1 Partner with </w:t>
      </w:r>
      <w:r w:rsidR="00EA60A8">
        <w:t xml:space="preserve">a Delta-based organization </w:t>
      </w:r>
      <w:r w:rsidRPr="00592999">
        <w:t>on programs that support the Delta region.</w:t>
      </w:r>
    </w:p>
    <w:p w14:paraId="11CC64C7" w14:textId="77777777" w:rsidR="00592999" w:rsidRPr="00592999" w:rsidRDefault="00592999" w:rsidP="00E61F4E">
      <w:r w:rsidRPr="00592999">
        <w:t>1.2 Identify and secure funding for Commission priorities by pursuing grants, partnerships, and federal or state appropriations, including the Delta Investment Fund.</w:t>
      </w:r>
    </w:p>
    <w:p w14:paraId="7C31DDB9" w14:textId="0D1A7FEE" w:rsidR="0023354B" w:rsidRDefault="00592999" w:rsidP="00E61F4E">
      <w:r w:rsidRPr="00592999">
        <w:t>1.3 Use federal appropriations granted to the Delta National Heritage Area to leverage additional funding.</w:t>
      </w:r>
      <w:r w:rsidR="007A055F">
        <w:t>"</w:t>
      </w:r>
    </w:p>
    <w:p w14:paraId="23297423" w14:textId="3292E950" w:rsidR="007B6F89" w:rsidRDefault="0023354B" w:rsidP="00E61F4E">
      <w:r>
        <w:t xml:space="preserve">Along with this commitment, </w:t>
      </w:r>
      <w:r w:rsidR="006B0D95">
        <w:t xml:space="preserve">the </w:t>
      </w:r>
      <w:r>
        <w:t xml:space="preserve">DPC </w:t>
      </w:r>
      <w:r w:rsidR="00EA60A8">
        <w:t xml:space="preserve">can </w:t>
      </w:r>
      <w:r w:rsidR="006B0D95">
        <w:t xml:space="preserve">utilize the </w:t>
      </w:r>
      <w:r>
        <w:t xml:space="preserve">Delta Investment Fund which, as established, </w:t>
      </w:r>
      <w:r w:rsidR="00EA60A8">
        <w:t>can</w:t>
      </w:r>
      <w:r>
        <w:t xml:space="preserve"> accept private donations from individuals or grants from philanthropic foundations. This tool is significant for both </w:t>
      </w:r>
      <w:r w:rsidR="006B0D95">
        <w:t xml:space="preserve">the </w:t>
      </w:r>
      <w:r>
        <w:t>DPC and the Sacramento-San Joaquin Delta National Heritage Area, as accepting donations by a governmental body has been problematic for other National Heritage Areas with governmental coordinating entities.</w:t>
      </w:r>
    </w:p>
    <w:p w14:paraId="3424A150" w14:textId="77777777" w:rsidR="0007685E" w:rsidRDefault="00130F61" w:rsidP="00E61F4E">
      <w:pPr>
        <w:pStyle w:val="Heading4"/>
      </w:pPr>
      <w:r>
        <w:t>Five-</w:t>
      </w:r>
      <w:r w:rsidR="001A0D65">
        <w:t>Year Financial Projection</w:t>
      </w:r>
      <w:r w:rsidR="0007685E" w:rsidRPr="0007685E">
        <w:t xml:space="preserve"> </w:t>
      </w:r>
    </w:p>
    <w:p w14:paraId="6E693AFC" w14:textId="790754E7" w:rsidR="0007685E" w:rsidRDefault="0007685E" w:rsidP="00E61F4E">
      <w:r>
        <w:t>Based on the staffing, programs, and projects articulated within this management plan, the Delta Protection Commission is projecting the financial calculations for coordinating, managing, and administering the Sacramento-San Joaquin Delta National Heritage Area found on the following page. The calculations contained in the table are estimates at the time of publication of this management plan, and the amounts could change.</w:t>
      </w:r>
    </w:p>
    <w:p w14:paraId="258ADB78" w14:textId="77777777" w:rsidR="0007685E" w:rsidRDefault="0007685E" w:rsidP="00E61F4E">
      <w:pPr>
        <w:pStyle w:val="Heading2"/>
      </w:pPr>
      <w:r>
        <w:t>Conclusion</w:t>
      </w:r>
    </w:p>
    <w:p w14:paraId="5B124FAD" w14:textId="77777777" w:rsidR="0007685E" w:rsidRDefault="0007685E" w:rsidP="00E61F4E">
      <w:r>
        <w:t xml:space="preserve">The recommendations contained within this chapter were developed in consideration of the long-term sustainability of the Sacramento-San Joaquin Delta National Heritage Area, the expressed needs of the NHA communities and partners, and in consideration of the recommendations contained within this management plan. The Sacramento-San Joaquin Delta National Heritage Area is in a strong management position as the </w:t>
      </w:r>
      <w:proofErr w:type="gramStart"/>
      <w:r>
        <w:t>DPC</w:t>
      </w:r>
      <w:proofErr w:type="gramEnd"/>
      <w:r>
        <w:t xml:space="preserve"> and the network of heritage partners work together to implement this management plan.</w:t>
      </w:r>
    </w:p>
    <w:p w14:paraId="65681E50" w14:textId="77777777" w:rsidR="0007685E" w:rsidRPr="0007685E" w:rsidRDefault="0007685E" w:rsidP="00E61F4E"/>
    <w:tbl>
      <w:tblPr>
        <w:tblpPr w:leftFromText="180" w:rightFromText="180" w:vertAnchor="text" w:horzAnchor="margin" w:tblpXSpec="center" w:tblpY="575"/>
        <w:tblW w:w="11640" w:type="dxa"/>
        <w:tblLook w:val="04A0" w:firstRow="1" w:lastRow="0" w:firstColumn="1" w:lastColumn="0" w:noHBand="0" w:noVBand="1"/>
      </w:tblPr>
      <w:tblGrid>
        <w:gridCol w:w="3029"/>
        <w:gridCol w:w="1413"/>
        <w:gridCol w:w="1413"/>
        <w:gridCol w:w="1413"/>
        <w:gridCol w:w="1413"/>
        <w:gridCol w:w="1413"/>
        <w:gridCol w:w="1546"/>
      </w:tblGrid>
      <w:tr w:rsidR="0007685E" w:rsidRPr="0007685E" w14:paraId="484BC0B8" w14:textId="77777777" w:rsidTr="005D100E">
        <w:trPr>
          <w:trHeight w:val="276"/>
        </w:trPr>
        <w:tc>
          <w:tcPr>
            <w:tcW w:w="11640" w:type="dxa"/>
            <w:gridSpan w:val="7"/>
            <w:tcBorders>
              <w:top w:val="nil"/>
              <w:left w:val="nil"/>
              <w:bottom w:val="nil"/>
              <w:right w:val="nil"/>
            </w:tcBorders>
            <w:shd w:val="clear" w:color="auto" w:fill="auto"/>
            <w:noWrap/>
            <w:vAlign w:val="bottom"/>
            <w:hideMark/>
          </w:tcPr>
          <w:p w14:paraId="1F3B7D89" w14:textId="77777777" w:rsidR="0007685E" w:rsidRPr="0007685E" w:rsidRDefault="0007685E" w:rsidP="00E61F4E">
            <w:r w:rsidRPr="0007685E">
              <w:t>Sacramento-San Joaquin Delta National Heritage Area</w:t>
            </w:r>
          </w:p>
        </w:tc>
      </w:tr>
      <w:tr w:rsidR="0007685E" w:rsidRPr="0007685E" w14:paraId="680133CA" w14:textId="77777777" w:rsidTr="005D100E">
        <w:trPr>
          <w:trHeight w:val="288"/>
        </w:trPr>
        <w:tc>
          <w:tcPr>
            <w:tcW w:w="11640" w:type="dxa"/>
            <w:gridSpan w:val="7"/>
            <w:tcBorders>
              <w:top w:val="nil"/>
              <w:left w:val="nil"/>
              <w:bottom w:val="nil"/>
              <w:right w:val="nil"/>
            </w:tcBorders>
            <w:shd w:val="clear" w:color="auto" w:fill="auto"/>
            <w:noWrap/>
            <w:vAlign w:val="bottom"/>
            <w:hideMark/>
          </w:tcPr>
          <w:p w14:paraId="1D2D256B" w14:textId="77777777" w:rsidR="0007685E" w:rsidRPr="0007685E" w:rsidRDefault="0007685E" w:rsidP="00E61F4E">
            <w:r w:rsidRPr="0007685E">
              <w:t>Five-Year Projection - Annual Operating Revenues &amp; Expenses</w:t>
            </w:r>
          </w:p>
        </w:tc>
      </w:tr>
      <w:tr w:rsidR="0007685E" w:rsidRPr="0007685E" w14:paraId="0E05FCFF" w14:textId="77777777" w:rsidTr="005D100E">
        <w:trPr>
          <w:trHeight w:val="264"/>
        </w:trPr>
        <w:tc>
          <w:tcPr>
            <w:tcW w:w="3029" w:type="dxa"/>
            <w:tcBorders>
              <w:top w:val="single" w:sz="8" w:space="0" w:color="auto"/>
              <w:left w:val="single" w:sz="8" w:space="0" w:color="auto"/>
              <w:bottom w:val="single" w:sz="4" w:space="0" w:color="auto"/>
              <w:right w:val="single" w:sz="4" w:space="0" w:color="auto"/>
            </w:tcBorders>
            <w:shd w:val="clear" w:color="000000" w:fill="E7E6E6"/>
            <w:noWrap/>
            <w:vAlign w:val="bottom"/>
            <w:hideMark/>
          </w:tcPr>
          <w:p w14:paraId="112CB5E3" w14:textId="77777777" w:rsidR="0007685E" w:rsidRPr="0007685E" w:rsidRDefault="0007685E" w:rsidP="00E61F4E">
            <w:r w:rsidRPr="0007685E">
              <w:t>REVENUES</w:t>
            </w:r>
          </w:p>
        </w:tc>
        <w:tc>
          <w:tcPr>
            <w:tcW w:w="1413" w:type="dxa"/>
            <w:tcBorders>
              <w:top w:val="single" w:sz="8" w:space="0" w:color="auto"/>
              <w:left w:val="nil"/>
              <w:bottom w:val="single" w:sz="4" w:space="0" w:color="auto"/>
              <w:right w:val="single" w:sz="4" w:space="0" w:color="auto"/>
            </w:tcBorders>
            <w:shd w:val="clear" w:color="000000" w:fill="E7E6E6"/>
            <w:noWrap/>
            <w:vAlign w:val="bottom"/>
            <w:hideMark/>
          </w:tcPr>
          <w:p w14:paraId="7B4A6F59" w14:textId="77777777" w:rsidR="0007685E" w:rsidRPr="0007685E" w:rsidRDefault="0007685E" w:rsidP="00E61F4E">
            <w:r w:rsidRPr="0007685E">
              <w:t>Year 1</w:t>
            </w:r>
          </w:p>
        </w:tc>
        <w:tc>
          <w:tcPr>
            <w:tcW w:w="1413" w:type="dxa"/>
            <w:tcBorders>
              <w:top w:val="single" w:sz="8" w:space="0" w:color="auto"/>
              <w:left w:val="nil"/>
              <w:bottom w:val="single" w:sz="4" w:space="0" w:color="auto"/>
              <w:right w:val="single" w:sz="4" w:space="0" w:color="auto"/>
            </w:tcBorders>
            <w:shd w:val="clear" w:color="000000" w:fill="E7E6E6"/>
            <w:noWrap/>
            <w:vAlign w:val="bottom"/>
            <w:hideMark/>
          </w:tcPr>
          <w:p w14:paraId="719E97C6" w14:textId="77777777" w:rsidR="0007685E" w:rsidRPr="0007685E" w:rsidRDefault="0007685E" w:rsidP="00E61F4E">
            <w:r w:rsidRPr="0007685E">
              <w:t>Year 2</w:t>
            </w:r>
          </w:p>
        </w:tc>
        <w:tc>
          <w:tcPr>
            <w:tcW w:w="1413" w:type="dxa"/>
            <w:tcBorders>
              <w:top w:val="single" w:sz="8" w:space="0" w:color="auto"/>
              <w:left w:val="nil"/>
              <w:bottom w:val="single" w:sz="4" w:space="0" w:color="auto"/>
              <w:right w:val="single" w:sz="4" w:space="0" w:color="auto"/>
            </w:tcBorders>
            <w:shd w:val="clear" w:color="000000" w:fill="E7E6E6"/>
            <w:noWrap/>
            <w:vAlign w:val="bottom"/>
            <w:hideMark/>
          </w:tcPr>
          <w:p w14:paraId="6C317D3D" w14:textId="77777777" w:rsidR="0007685E" w:rsidRPr="0007685E" w:rsidRDefault="0007685E" w:rsidP="00E61F4E">
            <w:r w:rsidRPr="0007685E">
              <w:t>Year 3</w:t>
            </w:r>
          </w:p>
        </w:tc>
        <w:tc>
          <w:tcPr>
            <w:tcW w:w="1413" w:type="dxa"/>
            <w:tcBorders>
              <w:top w:val="single" w:sz="8" w:space="0" w:color="auto"/>
              <w:left w:val="nil"/>
              <w:bottom w:val="single" w:sz="4" w:space="0" w:color="auto"/>
              <w:right w:val="single" w:sz="4" w:space="0" w:color="auto"/>
            </w:tcBorders>
            <w:shd w:val="clear" w:color="000000" w:fill="E7E6E6"/>
            <w:noWrap/>
            <w:vAlign w:val="bottom"/>
            <w:hideMark/>
          </w:tcPr>
          <w:p w14:paraId="419E862B" w14:textId="77777777" w:rsidR="0007685E" w:rsidRPr="0007685E" w:rsidRDefault="0007685E" w:rsidP="00E61F4E">
            <w:r w:rsidRPr="0007685E">
              <w:t>Year 4</w:t>
            </w:r>
          </w:p>
        </w:tc>
        <w:tc>
          <w:tcPr>
            <w:tcW w:w="1413" w:type="dxa"/>
            <w:tcBorders>
              <w:top w:val="single" w:sz="8" w:space="0" w:color="auto"/>
              <w:left w:val="nil"/>
              <w:bottom w:val="single" w:sz="4" w:space="0" w:color="auto"/>
              <w:right w:val="single" w:sz="4" w:space="0" w:color="auto"/>
            </w:tcBorders>
            <w:shd w:val="clear" w:color="000000" w:fill="E7E6E6"/>
            <w:noWrap/>
            <w:vAlign w:val="bottom"/>
            <w:hideMark/>
          </w:tcPr>
          <w:p w14:paraId="798E06F2" w14:textId="77777777" w:rsidR="0007685E" w:rsidRPr="0007685E" w:rsidRDefault="0007685E" w:rsidP="00E61F4E">
            <w:r w:rsidRPr="0007685E">
              <w:t>Year 5</w:t>
            </w:r>
          </w:p>
        </w:tc>
        <w:tc>
          <w:tcPr>
            <w:tcW w:w="1546" w:type="dxa"/>
            <w:tcBorders>
              <w:top w:val="single" w:sz="8" w:space="0" w:color="auto"/>
              <w:left w:val="nil"/>
              <w:bottom w:val="single" w:sz="4" w:space="0" w:color="auto"/>
              <w:right w:val="single" w:sz="8" w:space="0" w:color="auto"/>
            </w:tcBorders>
            <w:shd w:val="clear" w:color="000000" w:fill="E7E6E6"/>
            <w:noWrap/>
            <w:vAlign w:val="bottom"/>
            <w:hideMark/>
          </w:tcPr>
          <w:p w14:paraId="58AD5E42" w14:textId="77777777" w:rsidR="0007685E" w:rsidRPr="0007685E" w:rsidRDefault="0007685E" w:rsidP="00E61F4E">
            <w:r w:rsidRPr="0007685E">
              <w:t>5-Year Totals</w:t>
            </w:r>
          </w:p>
        </w:tc>
      </w:tr>
      <w:tr w:rsidR="0007685E" w:rsidRPr="0007685E" w14:paraId="348DFEF0"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16C76F26" w14:textId="77777777" w:rsidR="0007685E" w:rsidRPr="0007685E" w:rsidRDefault="0007685E" w:rsidP="00E61F4E">
            <w:r w:rsidRPr="0007685E">
              <w:t>Contributions/Donations</w:t>
            </w:r>
          </w:p>
        </w:tc>
        <w:tc>
          <w:tcPr>
            <w:tcW w:w="1413" w:type="dxa"/>
            <w:tcBorders>
              <w:top w:val="nil"/>
              <w:left w:val="nil"/>
              <w:bottom w:val="nil"/>
              <w:right w:val="single" w:sz="4" w:space="0" w:color="auto"/>
            </w:tcBorders>
            <w:shd w:val="clear" w:color="auto" w:fill="auto"/>
            <w:noWrap/>
            <w:vAlign w:val="bottom"/>
            <w:hideMark/>
          </w:tcPr>
          <w:p w14:paraId="7BFFB43B" w14:textId="77777777" w:rsidR="0007685E" w:rsidRPr="0007685E" w:rsidRDefault="0007685E" w:rsidP="00E61F4E">
            <w:r w:rsidRPr="0007685E">
              <w:t>$0</w:t>
            </w:r>
          </w:p>
        </w:tc>
        <w:tc>
          <w:tcPr>
            <w:tcW w:w="1413" w:type="dxa"/>
            <w:tcBorders>
              <w:top w:val="nil"/>
              <w:left w:val="nil"/>
              <w:bottom w:val="nil"/>
              <w:right w:val="single" w:sz="4" w:space="0" w:color="auto"/>
            </w:tcBorders>
            <w:shd w:val="clear" w:color="auto" w:fill="auto"/>
            <w:noWrap/>
            <w:vAlign w:val="bottom"/>
            <w:hideMark/>
          </w:tcPr>
          <w:p w14:paraId="1BB23AD0" w14:textId="77777777" w:rsidR="0007685E" w:rsidRPr="0007685E" w:rsidRDefault="0007685E" w:rsidP="00E61F4E">
            <w:r w:rsidRPr="0007685E">
              <w:t>$1,500</w:t>
            </w:r>
          </w:p>
        </w:tc>
        <w:tc>
          <w:tcPr>
            <w:tcW w:w="1413" w:type="dxa"/>
            <w:tcBorders>
              <w:top w:val="nil"/>
              <w:left w:val="nil"/>
              <w:bottom w:val="nil"/>
              <w:right w:val="single" w:sz="4" w:space="0" w:color="auto"/>
            </w:tcBorders>
            <w:shd w:val="clear" w:color="auto" w:fill="auto"/>
            <w:noWrap/>
            <w:vAlign w:val="bottom"/>
            <w:hideMark/>
          </w:tcPr>
          <w:p w14:paraId="1F870F50" w14:textId="77777777" w:rsidR="0007685E" w:rsidRPr="0007685E" w:rsidRDefault="0007685E" w:rsidP="00E61F4E">
            <w:r w:rsidRPr="0007685E">
              <w:t>$2,000</w:t>
            </w:r>
          </w:p>
        </w:tc>
        <w:tc>
          <w:tcPr>
            <w:tcW w:w="1413" w:type="dxa"/>
            <w:tcBorders>
              <w:top w:val="nil"/>
              <w:left w:val="nil"/>
              <w:bottom w:val="nil"/>
              <w:right w:val="single" w:sz="4" w:space="0" w:color="auto"/>
            </w:tcBorders>
            <w:shd w:val="clear" w:color="auto" w:fill="auto"/>
            <w:noWrap/>
            <w:vAlign w:val="bottom"/>
            <w:hideMark/>
          </w:tcPr>
          <w:p w14:paraId="1B632A0F" w14:textId="77777777" w:rsidR="0007685E" w:rsidRPr="0007685E" w:rsidRDefault="0007685E" w:rsidP="00E61F4E">
            <w:r w:rsidRPr="0007685E">
              <w:t>$2,500</w:t>
            </w:r>
          </w:p>
        </w:tc>
        <w:tc>
          <w:tcPr>
            <w:tcW w:w="1413" w:type="dxa"/>
            <w:tcBorders>
              <w:top w:val="nil"/>
              <w:left w:val="nil"/>
              <w:bottom w:val="nil"/>
              <w:right w:val="single" w:sz="4" w:space="0" w:color="auto"/>
            </w:tcBorders>
            <w:shd w:val="clear" w:color="auto" w:fill="auto"/>
            <w:noWrap/>
            <w:vAlign w:val="bottom"/>
            <w:hideMark/>
          </w:tcPr>
          <w:p w14:paraId="46514B8E" w14:textId="77777777" w:rsidR="0007685E" w:rsidRPr="0007685E" w:rsidRDefault="0007685E" w:rsidP="00E61F4E">
            <w:r w:rsidRPr="0007685E">
              <w:t>$2,500</w:t>
            </w:r>
          </w:p>
        </w:tc>
        <w:tc>
          <w:tcPr>
            <w:tcW w:w="1546" w:type="dxa"/>
            <w:tcBorders>
              <w:top w:val="nil"/>
              <w:left w:val="nil"/>
              <w:bottom w:val="nil"/>
              <w:right w:val="single" w:sz="8" w:space="0" w:color="auto"/>
            </w:tcBorders>
            <w:shd w:val="clear" w:color="auto" w:fill="auto"/>
            <w:noWrap/>
            <w:vAlign w:val="bottom"/>
            <w:hideMark/>
          </w:tcPr>
          <w:p w14:paraId="37CC52B7" w14:textId="77777777" w:rsidR="0007685E" w:rsidRPr="0007685E" w:rsidRDefault="0007685E" w:rsidP="00E61F4E">
            <w:r w:rsidRPr="0007685E">
              <w:t>$8,500</w:t>
            </w:r>
          </w:p>
        </w:tc>
      </w:tr>
      <w:tr w:rsidR="0007685E" w:rsidRPr="0007685E" w14:paraId="5F79F6E6"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467A0977" w14:textId="77777777" w:rsidR="0007685E" w:rsidRPr="0007685E" w:rsidRDefault="0007685E" w:rsidP="00E61F4E">
            <w:r w:rsidRPr="0007685E">
              <w:t>NHA Federal Grant</w:t>
            </w:r>
          </w:p>
        </w:tc>
        <w:tc>
          <w:tcPr>
            <w:tcW w:w="1413" w:type="dxa"/>
            <w:tcBorders>
              <w:top w:val="nil"/>
              <w:left w:val="nil"/>
              <w:bottom w:val="nil"/>
              <w:right w:val="single" w:sz="4" w:space="0" w:color="auto"/>
            </w:tcBorders>
            <w:shd w:val="clear" w:color="auto" w:fill="auto"/>
            <w:noWrap/>
            <w:vAlign w:val="bottom"/>
            <w:hideMark/>
          </w:tcPr>
          <w:p w14:paraId="52C9F09F" w14:textId="77777777" w:rsidR="0007685E" w:rsidRPr="0007685E" w:rsidRDefault="0007685E" w:rsidP="00E61F4E">
            <w:r w:rsidRPr="0007685E">
              <w:t>$500,000</w:t>
            </w:r>
          </w:p>
        </w:tc>
        <w:tc>
          <w:tcPr>
            <w:tcW w:w="1413" w:type="dxa"/>
            <w:tcBorders>
              <w:top w:val="nil"/>
              <w:left w:val="nil"/>
              <w:bottom w:val="nil"/>
              <w:right w:val="single" w:sz="4" w:space="0" w:color="auto"/>
            </w:tcBorders>
            <w:shd w:val="clear" w:color="auto" w:fill="auto"/>
            <w:noWrap/>
            <w:vAlign w:val="bottom"/>
            <w:hideMark/>
          </w:tcPr>
          <w:p w14:paraId="2820EE29" w14:textId="77777777" w:rsidR="0007685E" w:rsidRPr="0007685E" w:rsidRDefault="0007685E" w:rsidP="00E61F4E">
            <w:r w:rsidRPr="0007685E">
              <w:t>$500,000</w:t>
            </w:r>
          </w:p>
        </w:tc>
        <w:tc>
          <w:tcPr>
            <w:tcW w:w="1413" w:type="dxa"/>
            <w:tcBorders>
              <w:top w:val="nil"/>
              <w:left w:val="nil"/>
              <w:bottom w:val="nil"/>
              <w:right w:val="single" w:sz="4" w:space="0" w:color="auto"/>
            </w:tcBorders>
            <w:shd w:val="clear" w:color="auto" w:fill="auto"/>
            <w:noWrap/>
            <w:vAlign w:val="bottom"/>
            <w:hideMark/>
          </w:tcPr>
          <w:p w14:paraId="125D720A" w14:textId="77777777" w:rsidR="0007685E" w:rsidRPr="0007685E" w:rsidRDefault="0007685E" w:rsidP="00E61F4E">
            <w:r w:rsidRPr="0007685E">
              <w:t>$500,000</w:t>
            </w:r>
          </w:p>
        </w:tc>
        <w:tc>
          <w:tcPr>
            <w:tcW w:w="1413" w:type="dxa"/>
            <w:tcBorders>
              <w:top w:val="nil"/>
              <w:left w:val="nil"/>
              <w:bottom w:val="nil"/>
              <w:right w:val="single" w:sz="4" w:space="0" w:color="auto"/>
            </w:tcBorders>
            <w:shd w:val="clear" w:color="auto" w:fill="auto"/>
            <w:noWrap/>
            <w:vAlign w:val="bottom"/>
            <w:hideMark/>
          </w:tcPr>
          <w:p w14:paraId="25ECA6A0" w14:textId="77777777" w:rsidR="0007685E" w:rsidRPr="0007685E" w:rsidRDefault="0007685E" w:rsidP="00E61F4E">
            <w:r w:rsidRPr="0007685E">
              <w:t>$500,000</w:t>
            </w:r>
          </w:p>
        </w:tc>
        <w:tc>
          <w:tcPr>
            <w:tcW w:w="1413" w:type="dxa"/>
            <w:tcBorders>
              <w:top w:val="nil"/>
              <w:left w:val="nil"/>
              <w:bottom w:val="nil"/>
              <w:right w:val="single" w:sz="4" w:space="0" w:color="auto"/>
            </w:tcBorders>
            <w:shd w:val="clear" w:color="auto" w:fill="auto"/>
            <w:noWrap/>
            <w:vAlign w:val="bottom"/>
            <w:hideMark/>
          </w:tcPr>
          <w:p w14:paraId="02C11C6C" w14:textId="77777777" w:rsidR="0007685E" w:rsidRPr="0007685E" w:rsidRDefault="0007685E" w:rsidP="00E61F4E">
            <w:r w:rsidRPr="0007685E">
              <w:t>$500,000</w:t>
            </w:r>
          </w:p>
        </w:tc>
        <w:tc>
          <w:tcPr>
            <w:tcW w:w="1546" w:type="dxa"/>
            <w:tcBorders>
              <w:top w:val="nil"/>
              <w:left w:val="nil"/>
              <w:bottom w:val="nil"/>
              <w:right w:val="single" w:sz="8" w:space="0" w:color="auto"/>
            </w:tcBorders>
            <w:shd w:val="clear" w:color="auto" w:fill="auto"/>
            <w:noWrap/>
            <w:vAlign w:val="bottom"/>
            <w:hideMark/>
          </w:tcPr>
          <w:p w14:paraId="456C1BF9" w14:textId="77777777" w:rsidR="0007685E" w:rsidRPr="0007685E" w:rsidRDefault="0007685E" w:rsidP="00E61F4E">
            <w:r w:rsidRPr="0007685E">
              <w:t>$2,500,000</w:t>
            </w:r>
          </w:p>
        </w:tc>
      </w:tr>
      <w:tr w:rsidR="0007685E" w:rsidRPr="0007685E" w14:paraId="3BB45315"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6501C56C" w14:textId="77777777" w:rsidR="0007685E" w:rsidRPr="0007685E" w:rsidRDefault="0007685E" w:rsidP="00E61F4E">
            <w:r w:rsidRPr="0007685E">
              <w:t>DPC Funding</w:t>
            </w:r>
          </w:p>
        </w:tc>
        <w:tc>
          <w:tcPr>
            <w:tcW w:w="1413" w:type="dxa"/>
            <w:tcBorders>
              <w:top w:val="nil"/>
              <w:left w:val="nil"/>
              <w:bottom w:val="nil"/>
              <w:right w:val="single" w:sz="4" w:space="0" w:color="auto"/>
            </w:tcBorders>
            <w:shd w:val="clear" w:color="auto" w:fill="auto"/>
            <w:noWrap/>
            <w:vAlign w:val="bottom"/>
            <w:hideMark/>
          </w:tcPr>
          <w:p w14:paraId="0FFFA158" w14:textId="77777777" w:rsidR="0007685E" w:rsidRPr="0007685E" w:rsidRDefault="0007685E" w:rsidP="00E61F4E">
            <w:r w:rsidRPr="0007685E">
              <w:t>$765,300</w:t>
            </w:r>
          </w:p>
        </w:tc>
        <w:tc>
          <w:tcPr>
            <w:tcW w:w="1413" w:type="dxa"/>
            <w:tcBorders>
              <w:top w:val="nil"/>
              <w:left w:val="nil"/>
              <w:bottom w:val="nil"/>
              <w:right w:val="single" w:sz="4" w:space="0" w:color="auto"/>
            </w:tcBorders>
            <w:shd w:val="clear" w:color="auto" w:fill="auto"/>
            <w:noWrap/>
            <w:vAlign w:val="bottom"/>
            <w:hideMark/>
          </w:tcPr>
          <w:p w14:paraId="5CDD7007" w14:textId="77777777" w:rsidR="0007685E" w:rsidRPr="0007685E" w:rsidRDefault="0007685E" w:rsidP="00E61F4E">
            <w:r w:rsidRPr="0007685E">
              <w:t>$1,398,459</w:t>
            </w:r>
          </w:p>
        </w:tc>
        <w:tc>
          <w:tcPr>
            <w:tcW w:w="1413" w:type="dxa"/>
            <w:tcBorders>
              <w:top w:val="nil"/>
              <w:left w:val="nil"/>
              <w:bottom w:val="nil"/>
              <w:right w:val="single" w:sz="4" w:space="0" w:color="auto"/>
            </w:tcBorders>
            <w:shd w:val="clear" w:color="auto" w:fill="auto"/>
            <w:noWrap/>
            <w:vAlign w:val="bottom"/>
            <w:hideMark/>
          </w:tcPr>
          <w:p w14:paraId="361FAC30" w14:textId="77777777" w:rsidR="0007685E" w:rsidRPr="0007685E" w:rsidRDefault="0007685E" w:rsidP="00E61F4E">
            <w:r w:rsidRPr="0007685E">
              <w:t>$1,750,413</w:t>
            </w:r>
          </w:p>
        </w:tc>
        <w:tc>
          <w:tcPr>
            <w:tcW w:w="1413" w:type="dxa"/>
            <w:tcBorders>
              <w:top w:val="nil"/>
              <w:left w:val="nil"/>
              <w:bottom w:val="nil"/>
              <w:right w:val="single" w:sz="4" w:space="0" w:color="auto"/>
            </w:tcBorders>
            <w:shd w:val="clear" w:color="auto" w:fill="auto"/>
            <w:noWrap/>
            <w:vAlign w:val="bottom"/>
            <w:hideMark/>
          </w:tcPr>
          <w:p w14:paraId="781D79A3" w14:textId="77777777" w:rsidR="0007685E" w:rsidRPr="0007685E" w:rsidRDefault="0007685E" w:rsidP="00E61F4E">
            <w:r w:rsidRPr="0007685E">
              <w:t>$1,802,925</w:t>
            </w:r>
          </w:p>
        </w:tc>
        <w:tc>
          <w:tcPr>
            <w:tcW w:w="1413" w:type="dxa"/>
            <w:tcBorders>
              <w:top w:val="nil"/>
              <w:left w:val="nil"/>
              <w:bottom w:val="nil"/>
              <w:right w:val="single" w:sz="4" w:space="0" w:color="auto"/>
            </w:tcBorders>
            <w:shd w:val="clear" w:color="auto" w:fill="auto"/>
            <w:noWrap/>
            <w:vAlign w:val="bottom"/>
            <w:hideMark/>
          </w:tcPr>
          <w:p w14:paraId="1DD05801" w14:textId="77777777" w:rsidR="0007685E" w:rsidRPr="0007685E" w:rsidRDefault="0007685E" w:rsidP="00E61F4E">
            <w:r w:rsidRPr="0007685E">
              <w:t>$1,857,013</w:t>
            </w:r>
          </w:p>
        </w:tc>
        <w:tc>
          <w:tcPr>
            <w:tcW w:w="1546" w:type="dxa"/>
            <w:tcBorders>
              <w:top w:val="nil"/>
              <w:left w:val="nil"/>
              <w:bottom w:val="nil"/>
              <w:right w:val="single" w:sz="8" w:space="0" w:color="auto"/>
            </w:tcBorders>
            <w:shd w:val="clear" w:color="auto" w:fill="auto"/>
            <w:noWrap/>
            <w:vAlign w:val="bottom"/>
            <w:hideMark/>
          </w:tcPr>
          <w:p w14:paraId="5CCCE685" w14:textId="77777777" w:rsidR="0007685E" w:rsidRPr="0007685E" w:rsidRDefault="0007685E" w:rsidP="00E61F4E">
            <w:r w:rsidRPr="0007685E">
              <w:t>$7,574,110</w:t>
            </w:r>
          </w:p>
        </w:tc>
      </w:tr>
      <w:tr w:rsidR="0007685E" w:rsidRPr="0007685E" w14:paraId="76744FC2"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0FE43382" w14:textId="77777777" w:rsidR="0007685E" w:rsidRPr="0007685E" w:rsidRDefault="0007685E" w:rsidP="00E61F4E">
            <w:r w:rsidRPr="0007685E">
              <w:t>Other Federal Grants</w:t>
            </w:r>
          </w:p>
        </w:tc>
        <w:tc>
          <w:tcPr>
            <w:tcW w:w="1413" w:type="dxa"/>
            <w:tcBorders>
              <w:top w:val="nil"/>
              <w:left w:val="nil"/>
              <w:bottom w:val="nil"/>
              <w:right w:val="single" w:sz="4" w:space="0" w:color="auto"/>
            </w:tcBorders>
            <w:shd w:val="clear" w:color="auto" w:fill="auto"/>
            <w:noWrap/>
            <w:vAlign w:val="bottom"/>
            <w:hideMark/>
          </w:tcPr>
          <w:p w14:paraId="4098C4C3" w14:textId="77777777" w:rsidR="0007685E" w:rsidRPr="0007685E" w:rsidRDefault="0007685E" w:rsidP="00E61F4E">
            <w:r w:rsidRPr="0007685E">
              <w:t>$0</w:t>
            </w:r>
          </w:p>
        </w:tc>
        <w:tc>
          <w:tcPr>
            <w:tcW w:w="1413" w:type="dxa"/>
            <w:tcBorders>
              <w:top w:val="nil"/>
              <w:left w:val="nil"/>
              <w:bottom w:val="nil"/>
              <w:right w:val="single" w:sz="4" w:space="0" w:color="auto"/>
            </w:tcBorders>
            <w:shd w:val="clear" w:color="auto" w:fill="auto"/>
            <w:noWrap/>
            <w:vAlign w:val="bottom"/>
            <w:hideMark/>
          </w:tcPr>
          <w:p w14:paraId="3FC15211" w14:textId="77777777" w:rsidR="0007685E" w:rsidRPr="0007685E" w:rsidRDefault="0007685E" w:rsidP="00E61F4E">
            <w:r w:rsidRPr="0007685E">
              <w:t>$25,000</w:t>
            </w:r>
          </w:p>
        </w:tc>
        <w:tc>
          <w:tcPr>
            <w:tcW w:w="1413" w:type="dxa"/>
            <w:tcBorders>
              <w:top w:val="nil"/>
              <w:left w:val="nil"/>
              <w:bottom w:val="nil"/>
              <w:right w:val="single" w:sz="4" w:space="0" w:color="auto"/>
            </w:tcBorders>
            <w:shd w:val="clear" w:color="auto" w:fill="auto"/>
            <w:noWrap/>
            <w:vAlign w:val="bottom"/>
            <w:hideMark/>
          </w:tcPr>
          <w:p w14:paraId="76763F39" w14:textId="77777777" w:rsidR="0007685E" w:rsidRPr="0007685E" w:rsidRDefault="0007685E" w:rsidP="00E61F4E">
            <w:r w:rsidRPr="0007685E">
              <w:t>$25,000</w:t>
            </w:r>
          </w:p>
        </w:tc>
        <w:tc>
          <w:tcPr>
            <w:tcW w:w="1413" w:type="dxa"/>
            <w:tcBorders>
              <w:top w:val="nil"/>
              <w:left w:val="nil"/>
              <w:bottom w:val="nil"/>
              <w:right w:val="single" w:sz="4" w:space="0" w:color="auto"/>
            </w:tcBorders>
            <w:shd w:val="clear" w:color="auto" w:fill="auto"/>
            <w:noWrap/>
            <w:vAlign w:val="bottom"/>
            <w:hideMark/>
          </w:tcPr>
          <w:p w14:paraId="316460DF" w14:textId="77777777" w:rsidR="0007685E" w:rsidRPr="0007685E" w:rsidRDefault="0007685E" w:rsidP="00E61F4E">
            <w:r w:rsidRPr="0007685E">
              <w:t>$30,000</w:t>
            </w:r>
          </w:p>
        </w:tc>
        <w:tc>
          <w:tcPr>
            <w:tcW w:w="1413" w:type="dxa"/>
            <w:tcBorders>
              <w:top w:val="nil"/>
              <w:left w:val="nil"/>
              <w:bottom w:val="nil"/>
              <w:right w:val="single" w:sz="4" w:space="0" w:color="auto"/>
            </w:tcBorders>
            <w:shd w:val="clear" w:color="auto" w:fill="auto"/>
            <w:noWrap/>
            <w:vAlign w:val="bottom"/>
            <w:hideMark/>
          </w:tcPr>
          <w:p w14:paraId="72E52BE4" w14:textId="77777777" w:rsidR="0007685E" w:rsidRPr="0007685E" w:rsidRDefault="0007685E" w:rsidP="00E61F4E">
            <w:r w:rsidRPr="0007685E">
              <w:t>$30,000</w:t>
            </w:r>
          </w:p>
        </w:tc>
        <w:tc>
          <w:tcPr>
            <w:tcW w:w="1546" w:type="dxa"/>
            <w:tcBorders>
              <w:top w:val="nil"/>
              <w:left w:val="nil"/>
              <w:bottom w:val="nil"/>
              <w:right w:val="single" w:sz="8" w:space="0" w:color="auto"/>
            </w:tcBorders>
            <w:shd w:val="clear" w:color="auto" w:fill="auto"/>
            <w:noWrap/>
            <w:vAlign w:val="bottom"/>
            <w:hideMark/>
          </w:tcPr>
          <w:p w14:paraId="5CD1C4B6" w14:textId="77777777" w:rsidR="0007685E" w:rsidRPr="0007685E" w:rsidRDefault="0007685E" w:rsidP="00E61F4E">
            <w:r w:rsidRPr="0007685E">
              <w:t>$110,000</w:t>
            </w:r>
          </w:p>
        </w:tc>
      </w:tr>
      <w:tr w:rsidR="0007685E" w:rsidRPr="0007685E" w14:paraId="02A13F3C"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6724B6EA" w14:textId="77777777" w:rsidR="0007685E" w:rsidRPr="0007685E" w:rsidRDefault="0007685E" w:rsidP="00E61F4E">
            <w:r w:rsidRPr="0007685E">
              <w:t>State Grants</w:t>
            </w:r>
          </w:p>
        </w:tc>
        <w:tc>
          <w:tcPr>
            <w:tcW w:w="1413" w:type="dxa"/>
            <w:tcBorders>
              <w:top w:val="nil"/>
              <w:left w:val="nil"/>
              <w:bottom w:val="nil"/>
              <w:right w:val="single" w:sz="4" w:space="0" w:color="auto"/>
            </w:tcBorders>
            <w:shd w:val="clear" w:color="auto" w:fill="auto"/>
            <w:noWrap/>
            <w:vAlign w:val="bottom"/>
            <w:hideMark/>
          </w:tcPr>
          <w:p w14:paraId="068A2F83" w14:textId="77777777" w:rsidR="0007685E" w:rsidRPr="0007685E" w:rsidRDefault="0007685E" w:rsidP="00E61F4E">
            <w:r w:rsidRPr="0007685E">
              <w:t>$10,000</w:t>
            </w:r>
          </w:p>
        </w:tc>
        <w:tc>
          <w:tcPr>
            <w:tcW w:w="1413" w:type="dxa"/>
            <w:tcBorders>
              <w:top w:val="nil"/>
              <w:left w:val="nil"/>
              <w:bottom w:val="nil"/>
              <w:right w:val="single" w:sz="4" w:space="0" w:color="auto"/>
            </w:tcBorders>
            <w:shd w:val="clear" w:color="auto" w:fill="auto"/>
            <w:noWrap/>
            <w:vAlign w:val="bottom"/>
            <w:hideMark/>
          </w:tcPr>
          <w:p w14:paraId="7E4D7BC5" w14:textId="77777777" w:rsidR="0007685E" w:rsidRPr="0007685E" w:rsidRDefault="0007685E" w:rsidP="00E61F4E">
            <w:r w:rsidRPr="0007685E">
              <w:t>$10,000</w:t>
            </w:r>
          </w:p>
        </w:tc>
        <w:tc>
          <w:tcPr>
            <w:tcW w:w="1413" w:type="dxa"/>
            <w:tcBorders>
              <w:top w:val="nil"/>
              <w:left w:val="nil"/>
              <w:bottom w:val="nil"/>
              <w:right w:val="single" w:sz="4" w:space="0" w:color="auto"/>
            </w:tcBorders>
            <w:shd w:val="clear" w:color="auto" w:fill="auto"/>
            <w:noWrap/>
            <w:vAlign w:val="bottom"/>
            <w:hideMark/>
          </w:tcPr>
          <w:p w14:paraId="7D9223D5" w14:textId="77777777" w:rsidR="0007685E" w:rsidRPr="0007685E" w:rsidRDefault="0007685E" w:rsidP="00E61F4E">
            <w:r w:rsidRPr="0007685E">
              <w:t>$15,000</w:t>
            </w:r>
          </w:p>
        </w:tc>
        <w:tc>
          <w:tcPr>
            <w:tcW w:w="1413" w:type="dxa"/>
            <w:tcBorders>
              <w:top w:val="nil"/>
              <w:left w:val="nil"/>
              <w:bottom w:val="nil"/>
              <w:right w:val="single" w:sz="4" w:space="0" w:color="auto"/>
            </w:tcBorders>
            <w:shd w:val="clear" w:color="auto" w:fill="auto"/>
            <w:noWrap/>
            <w:vAlign w:val="bottom"/>
            <w:hideMark/>
          </w:tcPr>
          <w:p w14:paraId="6A75988A" w14:textId="77777777" w:rsidR="0007685E" w:rsidRPr="0007685E" w:rsidRDefault="0007685E" w:rsidP="00E61F4E">
            <w:r w:rsidRPr="0007685E">
              <w:t>$20,000</w:t>
            </w:r>
          </w:p>
        </w:tc>
        <w:tc>
          <w:tcPr>
            <w:tcW w:w="1413" w:type="dxa"/>
            <w:tcBorders>
              <w:top w:val="nil"/>
              <w:left w:val="nil"/>
              <w:bottom w:val="nil"/>
              <w:right w:val="single" w:sz="4" w:space="0" w:color="auto"/>
            </w:tcBorders>
            <w:shd w:val="clear" w:color="auto" w:fill="auto"/>
            <w:noWrap/>
            <w:vAlign w:val="bottom"/>
            <w:hideMark/>
          </w:tcPr>
          <w:p w14:paraId="3C69D135" w14:textId="77777777" w:rsidR="0007685E" w:rsidRPr="0007685E" w:rsidRDefault="0007685E" w:rsidP="00E61F4E">
            <w:r w:rsidRPr="0007685E">
              <w:t>$25,000</w:t>
            </w:r>
          </w:p>
        </w:tc>
        <w:tc>
          <w:tcPr>
            <w:tcW w:w="1546" w:type="dxa"/>
            <w:tcBorders>
              <w:top w:val="nil"/>
              <w:left w:val="nil"/>
              <w:bottom w:val="nil"/>
              <w:right w:val="single" w:sz="8" w:space="0" w:color="auto"/>
            </w:tcBorders>
            <w:shd w:val="clear" w:color="auto" w:fill="auto"/>
            <w:noWrap/>
            <w:vAlign w:val="bottom"/>
            <w:hideMark/>
          </w:tcPr>
          <w:p w14:paraId="428BA762" w14:textId="77777777" w:rsidR="0007685E" w:rsidRPr="0007685E" w:rsidRDefault="0007685E" w:rsidP="00E61F4E">
            <w:r w:rsidRPr="0007685E">
              <w:t>$80,000</w:t>
            </w:r>
          </w:p>
        </w:tc>
      </w:tr>
      <w:tr w:rsidR="0007685E" w:rsidRPr="0007685E" w14:paraId="0AD896A9"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7F039219" w14:textId="77777777" w:rsidR="0007685E" w:rsidRPr="0007685E" w:rsidRDefault="0007685E" w:rsidP="00E61F4E">
            <w:r w:rsidRPr="0007685E">
              <w:t xml:space="preserve">Local </w:t>
            </w:r>
            <w:r>
              <w:t xml:space="preserve">Government </w:t>
            </w:r>
            <w:r w:rsidRPr="0007685E">
              <w:t>Grants</w:t>
            </w:r>
          </w:p>
        </w:tc>
        <w:tc>
          <w:tcPr>
            <w:tcW w:w="1413" w:type="dxa"/>
            <w:tcBorders>
              <w:top w:val="nil"/>
              <w:left w:val="nil"/>
              <w:bottom w:val="nil"/>
              <w:right w:val="single" w:sz="4" w:space="0" w:color="auto"/>
            </w:tcBorders>
            <w:shd w:val="clear" w:color="auto" w:fill="auto"/>
            <w:noWrap/>
            <w:vAlign w:val="bottom"/>
            <w:hideMark/>
          </w:tcPr>
          <w:p w14:paraId="4708B6DB" w14:textId="77777777" w:rsidR="0007685E" w:rsidRPr="0007685E" w:rsidRDefault="0007685E" w:rsidP="00E61F4E">
            <w:r w:rsidRPr="0007685E">
              <w:t>$10,000</w:t>
            </w:r>
          </w:p>
        </w:tc>
        <w:tc>
          <w:tcPr>
            <w:tcW w:w="1413" w:type="dxa"/>
            <w:tcBorders>
              <w:top w:val="nil"/>
              <w:left w:val="nil"/>
              <w:bottom w:val="nil"/>
              <w:right w:val="single" w:sz="4" w:space="0" w:color="auto"/>
            </w:tcBorders>
            <w:shd w:val="clear" w:color="auto" w:fill="auto"/>
            <w:noWrap/>
            <w:vAlign w:val="bottom"/>
            <w:hideMark/>
          </w:tcPr>
          <w:p w14:paraId="345BBE02" w14:textId="77777777" w:rsidR="0007685E" w:rsidRPr="0007685E" w:rsidRDefault="0007685E" w:rsidP="00E61F4E">
            <w:r w:rsidRPr="0007685E">
              <w:t>$10,000</w:t>
            </w:r>
          </w:p>
        </w:tc>
        <w:tc>
          <w:tcPr>
            <w:tcW w:w="1413" w:type="dxa"/>
            <w:tcBorders>
              <w:top w:val="nil"/>
              <w:left w:val="nil"/>
              <w:bottom w:val="nil"/>
              <w:right w:val="single" w:sz="4" w:space="0" w:color="auto"/>
            </w:tcBorders>
            <w:shd w:val="clear" w:color="auto" w:fill="auto"/>
            <w:noWrap/>
            <w:vAlign w:val="bottom"/>
            <w:hideMark/>
          </w:tcPr>
          <w:p w14:paraId="3E953362" w14:textId="77777777" w:rsidR="0007685E" w:rsidRPr="0007685E" w:rsidRDefault="0007685E" w:rsidP="00E61F4E">
            <w:r w:rsidRPr="0007685E">
              <w:t>$10,000</w:t>
            </w:r>
          </w:p>
        </w:tc>
        <w:tc>
          <w:tcPr>
            <w:tcW w:w="1413" w:type="dxa"/>
            <w:tcBorders>
              <w:top w:val="nil"/>
              <w:left w:val="nil"/>
              <w:bottom w:val="nil"/>
              <w:right w:val="single" w:sz="4" w:space="0" w:color="auto"/>
            </w:tcBorders>
            <w:shd w:val="clear" w:color="auto" w:fill="auto"/>
            <w:noWrap/>
            <w:vAlign w:val="bottom"/>
            <w:hideMark/>
          </w:tcPr>
          <w:p w14:paraId="7CE11C93" w14:textId="77777777" w:rsidR="0007685E" w:rsidRPr="0007685E" w:rsidRDefault="0007685E" w:rsidP="00E61F4E">
            <w:r w:rsidRPr="0007685E">
              <w:t>$10,000</w:t>
            </w:r>
          </w:p>
        </w:tc>
        <w:tc>
          <w:tcPr>
            <w:tcW w:w="1413" w:type="dxa"/>
            <w:tcBorders>
              <w:top w:val="nil"/>
              <w:left w:val="nil"/>
              <w:bottom w:val="nil"/>
              <w:right w:val="single" w:sz="4" w:space="0" w:color="auto"/>
            </w:tcBorders>
            <w:shd w:val="clear" w:color="auto" w:fill="auto"/>
            <w:noWrap/>
            <w:vAlign w:val="bottom"/>
            <w:hideMark/>
          </w:tcPr>
          <w:p w14:paraId="63123BC5" w14:textId="77777777" w:rsidR="0007685E" w:rsidRPr="0007685E" w:rsidRDefault="0007685E" w:rsidP="00E61F4E">
            <w:r w:rsidRPr="0007685E">
              <w:t>$10,000</w:t>
            </w:r>
          </w:p>
        </w:tc>
        <w:tc>
          <w:tcPr>
            <w:tcW w:w="1546" w:type="dxa"/>
            <w:tcBorders>
              <w:top w:val="nil"/>
              <w:left w:val="nil"/>
              <w:bottom w:val="nil"/>
              <w:right w:val="single" w:sz="8" w:space="0" w:color="auto"/>
            </w:tcBorders>
            <w:shd w:val="clear" w:color="auto" w:fill="auto"/>
            <w:noWrap/>
            <w:vAlign w:val="bottom"/>
            <w:hideMark/>
          </w:tcPr>
          <w:p w14:paraId="4D8BE4E2" w14:textId="77777777" w:rsidR="0007685E" w:rsidRPr="0007685E" w:rsidRDefault="0007685E" w:rsidP="00E61F4E">
            <w:r w:rsidRPr="0007685E">
              <w:t>$50,000</w:t>
            </w:r>
          </w:p>
        </w:tc>
      </w:tr>
      <w:tr w:rsidR="0007685E" w:rsidRPr="0007685E" w14:paraId="6E9C5372"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32187BBB" w14:textId="77777777" w:rsidR="0007685E" w:rsidRPr="0007685E" w:rsidRDefault="0007685E" w:rsidP="00E61F4E">
            <w:r w:rsidRPr="0007685E">
              <w:t>Foundations</w:t>
            </w:r>
          </w:p>
        </w:tc>
        <w:tc>
          <w:tcPr>
            <w:tcW w:w="1413" w:type="dxa"/>
            <w:tcBorders>
              <w:top w:val="nil"/>
              <w:left w:val="nil"/>
              <w:bottom w:val="nil"/>
              <w:right w:val="single" w:sz="4" w:space="0" w:color="auto"/>
            </w:tcBorders>
            <w:shd w:val="clear" w:color="auto" w:fill="auto"/>
            <w:noWrap/>
            <w:vAlign w:val="bottom"/>
            <w:hideMark/>
          </w:tcPr>
          <w:p w14:paraId="704F8075" w14:textId="77777777" w:rsidR="0007685E" w:rsidRPr="0007685E" w:rsidRDefault="0007685E" w:rsidP="00E61F4E">
            <w:r w:rsidRPr="0007685E">
              <w:t>$25,000</w:t>
            </w:r>
          </w:p>
        </w:tc>
        <w:tc>
          <w:tcPr>
            <w:tcW w:w="1413" w:type="dxa"/>
            <w:tcBorders>
              <w:top w:val="nil"/>
              <w:left w:val="nil"/>
              <w:bottom w:val="nil"/>
              <w:right w:val="single" w:sz="4" w:space="0" w:color="auto"/>
            </w:tcBorders>
            <w:shd w:val="clear" w:color="auto" w:fill="auto"/>
            <w:noWrap/>
            <w:vAlign w:val="bottom"/>
            <w:hideMark/>
          </w:tcPr>
          <w:p w14:paraId="35000C4E" w14:textId="77777777" w:rsidR="0007685E" w:rsidRPr="0007685E" w:rsidRDefault="0007685E" w:rsidP="00E61F4E">
            <w:r w:rsidRPr="0007685E">
              <w:t>$25,000</w:t>
            </w:r>
          </w:p>
        </w:tc>
        <w:tc>
          <w:tcPr>
            <w:tcW w:w="1413" w:type="dxa"/>
            <w:tcBorders>
              <w:top w:val="nil"/>
              <w:left w:val="nil"/>
              <w:bottom w:val="nil"/>
              <w:right w:val="single" w:sz="4" w:space="0" w:color="auto"/>
            </w:tcBorders>
            <w:shd w:val="clear" w:color="auto" w:fill="auto"/>
            <w:noWrap/>
            <w:vAlign w:val="bottom"/>
            <w:hideMark/>
          </w:tcPr>
          <w:p w14:paraId="5DE4D34B" w14:textId="77777777" w:rsidR="0007685E" w:rsidRPr="0007685E" w:rsidRDefault="0007685E" w:rsidP="00E61F4E">
            <w:r w:rsidRPr="0007685E">
              <w:t>$50,000</w:t>
            </w:r>
          </w:p>
        </w:tc>
        <w:tc>
          <w:tcPr>
            <w:tcW w:w="1413" w:type="dxa"/>
            <w:tcBorders>
              <w:top w:val="nil"/>
              <w:left w:val="nil"/>
              <w:bottom w:val="nil"/>
              <w:right w:val="single" w:sz="4" w:space="0" w:color="auto"/>
            </w:tcBorders>
            <w:shd w:val="clear" w:color="auto" w:fill="auto"/>
            <w:noWrap/>
            <w:vAlign w:val="bottom"/>
            <w:hideMark/>
          </w:tcPr>
          <w:p w14:paraId="2E8ABE9C" w14:textId="77777777" w:rsidR="0007685E" w:rsidRPr="0007685E" w:rsidRDefault="0007685E" w:rsidP="00E61F4E">
            <w:r w:rsidRPr="0007685E">
              <w:t>$50,000</w:t>
            </w:r>
          </w:p>
        </w:tc>
        <w:tc>
          <w:tcPr>
            <w:tcW w:w="1413" w:type="dxa"/>
            <w:tcBorders>
              <w:top w:val="nil"/>
              <w:left w:val="nil"/>
              <w:bottom w:val="nil"/>
              <w:right w:val="single" w:sz="4" w:space="0" w:color="auto"/>
            </w:tcBorders>
            <w:shd w:val="clear" w:color="auto" w:fill="auto"/>
            <w:noWrap/>
            <w:vAlign w:val="bottom"/>
            <w:hideMark/>
          </w:tcPr>
          <w:p w14:paraId="1BBF42C3" w14:textId="77777777" w:rsidR="0007685E" w:rsidRPr="0007685E" w:rsidRDefault="0007685E" w:rsidP="00E61F4E">
            <w:r w:rsidRPr="0007685E">
              <w:t>$50,000</w:t>
            </w:r>
          </w:p>
        </w:tc>
        <w:tc>
          <w:tcPr>
            <w:tcW w:w="1546" w:type="dxa"/>
            <w:tcBorders>
              <w:top w:val="nil"/>
              <w:left w:val="nil"/>
              <w:bottom w:val="nil"/>
              <w:right w:val="single" w:sz="8" w:space="0" w:color="auto"/>
            </w:tcBorders>
            <w:shd w:val="clear" w:color="auto" w:fill="auto"/>
            <w:noWrap/>
            <w:vAlign w:val="bottom"/>
            <w:hideMark/>
          </w:tcPr>
          <w:p w14:paraId="1370EF63" w14:textId="77777777" w:rsidR="0007685E" w:rsidRPr="0007685E" w:rsidRDefault="0007685E" w:rsidP="00E61F4E">
            <w:r w:rsidRPr="0007685E">
              <w:t>$200,000</w:t>
            </w:r>
          </w:p>
        </w:tc>
      </w:tr>
      <w:tr w:rsidR="0007685E" w:rsidRPr="0007685E" w14:paraId="7FF3B4DB"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7E3A3C3D" w14:textId="77777777" w:rsidR="0007685E" w:rsidRPr="0007685E" w:rsidRDefault="0007685E" w:rsidP="00E61F4E">
            <w:r w:rsidRPr="0007685E">
              <w:t>Other Revenue</w:t>
            </w:r>
          </w:p>
        </w:tc>
        <w:tc>
          <w:tcPr>
            <w:tcW w:w="1413" w:type="dxa"/>
            <w:tcBorders>
              <w:top w:val="nil"/>
              <w:left w:val="nil"/>
              <w:bottom w:val="nil"/>
              <w:right w:val="single" w:sz="4" w:space="0" w:color="auto"/>
            </w:tcBorders>
            <w:shd w:val="clear" w:color="auto" w:fill="auto"/>
            <w:noWrap/>
            <w:vAlign w:val="bottom"/>
            <w:hideMark/>
          </w:tcPr>
          <w:p w14:paraId="1B25EBDF" w14:textId="77777777" w:rsidR="0007685E" w:rsidRPr="0007685E" w:rsidRDefault="0007685E" w:rsidP="00E61F4E">
            <w:r w:rsidRPr="0007685E">
              <w:t>$0</w:t>
            </w:r>
          </w:p>
        </w:tc>
        <w:tc>
          <w:tcPr>
            <w:tcW w:w="1413" w:type="dxa"/>
            <w:tcBorders>
              <w:top w:val="nil"/>
              <w:left w:val="nil"/>
              <w:bottom w:val="nil"/>
              <w:right w:val="single" w:sz="4" w:space="0" w:color="auto"/>
            </w:tcBorders>
            <w:shd w:val="clear" w:color="auto" w:fill="auto"/>
            <w:noWrap/>
            <w:vAlign w:val="bottom"/>
            <w:hideMark/>
          </w:tcPr>
          <w:p w14:paraId="18D6794B" w14:textId="77777777" w:rsidR="0007685E" w:rsidRPr="0007685E" w:rsidRDefault="0007685E" w:rsidP="00E61F4E">
            <w:r w:rsidRPr="0007685E">
              <w:t>$0</w:t>
            </w:r>
          </w:p>
        </w:tc>
        <w:tc>
          <w:tcPr>
            <w:tcW w:w="1413" w:type="dxa"/>
            <w:tcBorders>
              <w:top w:val="nil"/>
              <w:left w:val="nil"/>
              <w:bottom w:val="nil"/>
              <w:right w:val="single" w:sz="4" w:space="0" w:color="auto"/>
            </w:tcBorders>
            <w:shd w:val="clear" w:color="auto" w:fill="auto"/>
            <w:noWrap/>
            <w:vAlign w:val="bottom"/>
            <w:hideMark/>
          </w:tcPr>
          <w:p w14:paraId="76F7FD52" w14:textId="77777777" w:rsidR="0007685E" w:rsidRPr="0007685E" w:rsidRDefault="0007685E" w:rsidP="00E61F4E">
            <w:r w:rsidRPr="0007685E">
              <w:t>$0</w:t>
            </w:r>
          </w:p>
        </w:tc>
        <w:tc>
          <w:tcPr>
            <w:tcW w:w="1413" w:type="dxa"/>
            <w:tcBorders>
              <w:top w:val="nil"/>
              <w:left w:val="nil"/>
              <w:bottom w:val="nil"/>
              <w:right w:val="single" w:sz="4" w:space="0" w:color="auto"/>
            </w:tcBorders>
            <w:shd w:val="clear" w:color="auto" w:fill="auto"/>
            <w:noWrap/>
            <w:vAlign w:val="bottom"/>
            <w:hideMark/>
          </w:tcPr>
          <w:p w14:paraId="22BE3325" w14:textId="77777777" w:rsidR="0007685E" w:rsidRPr="0007685E" w:rsidRDefault="0007685E" w:rsidP="00E61F4E">
            <w:r w:rsidRPr="0007685E">
              <w:t>$0</w:t>
            </w:r>
          </w:p>
        </w:tc>
        <w:tc>
          <w:tcPr>
            <w:tcW w:w="1413" w:type="dxa"/>
            <w:tcBorders>
              <w:top w:val="nil"/>
              <w:left w:val="nil"/>
              <w:bottom w:val="nil"/>
              <w:right w:val="single" w:sz="4" w:space="0" w:color="auto"/>
            </w:tcBorders>
            <w:shd w:val="clear" w:color="auto" w:fill="auto"/>
            <w:noWrap/>
            <w:vAlign w:val="bottom"/>
            <w:hideMark/>
          </w:tcPr>
          <w:p w14:paraId="75BCCBC2" w14:textId="77777777" w:rsidR="0007685E" w:rsidRPr="0007685E" w:rsidRDefault="0007685E" w:rsidP="00E61F4E">
            <w:r w:rsidRPr="0007685E">
              <w:t>$0</w:t>
            </w:r>
          </w:p>
        </w:tc>
        <w:tc>
          <w:tcPr>
            <w:tcW w:w="1546" w:type="dxa"/>
            <w:tcBorders>
              <w:top w:val="nil"/>
              <w:left w:val="nil"/>
              <w:bottom w:val="nil"/>
              <w:right w:val="single" w:sz="8" w:space="0" w:color="auto"/>
            </w:tcBorders>
            <w:shd w:val="clear" w:color="auto" w:fill="auto"/>
            <w:noWrap/>
            <w:vAlign w:val="bottom"/>
            <w:hideMark/>
          </w:tcPr>
          <w:p w14:paraId="66E1CFF4" w14:textId="77777777" w:rsidR="0007685E" w:rsidRPr="0007685E" w:rsidRDefault="0007685E" w:rsidP="00E61F4E">
            <w:r w:rsidRPr="0007685E">
              <w:t>$0</w:t>
            </w:r>
          </w:p>
        </w:tc>
      </w:tr>
      <w:tr w:rsidR="0007685E" w:rsidRPr="0007685E" w14:paraId="4E91FF36" w14:textId="77777777" w:rsidTr="005D100E">
        <w:trPr>
          <w:trHeight w:val="288"/>
        </w:trPr>
        <w:tc>
          <w:tcPr>
            <w:tcW w:w="3029" w:type="dxa"/>
            <w:tcBorders>
              <w:top w:val="nil"/>
              <w:left w:val="single" w:sz="8" w:space="0" w:color="auto"/>
              <w:bottom w:val="single" w:sz="8" w:space="0" w:color="auto"/>
              <w:right w:val="single" w:sz="4" w:space="0" w:color="auto"/>
            </w:tcBorders>
            <w:shd w:val="clear" w:color="000000" w:fill="E7E6E6"/>
            <w:noWrap/>
            <w:vAlign w:val="bottom"/>
            <w:hideMark/>
          </w:tcPr>
          <w:p w14:paraId="436E2102" w14:textId="77777777" w:rsidR="0007685E" w:rsidRPr="0007685E" w:rsidRDefault="0007685E" w:rsidP="00E61F4E">
            <w:r w:rsidRPr="0007685E">
              <w:t>Total Revenue</w:t>
            </w:r>
          </w:p>
        </w:tc>
        <w:tc>
          <w:tcPr>
            <w:tcW w:w="1413" w:type="dxa"/>
            <w:tcBorders>
              <w:top w:val="nil"/>
              <w:left w:val="nil"/>
              <w:bottom w:val="single" w:sz="8" w:space="0" w:color="auto"/>
              <w:right w:val="single" w:sz="4" w:space="0" w:color="auto"/>
            </w:tcBorders>
            <w:shd w:val="clear" w:color="000000" w:fill="E7E6E6"/>
            <w:noWrap/>
            <w:vAlign w:val="bottom"/>
            <w:hideMark/>
          </w:tcPr>
          <w:p w14:paraId="72F50F7B" w14:textId="77777777" w:rsidR="0007685E" w:rsidRPr="0007685E" w:rsidRDefault="0007685E" w:rsidP="00E61F4E">
            <w:r w:rsidRPr="0007685E">
              <w:t>$1,310,300</w:t>
            </w:r>
          </w:p>
        </w:tc>
        <w:tc>
          <w:tcPr>
            <w:tcW w:w="1413" w:type="dxa"/>
            <w:tcBorders>
              <w:top w:val="nil"/>
              <w:left w:val="nil"/>
              <w:bottom w:val="single" w:sz="8" w:space="0" w:color="auto"/>
              <w:right w:val="single" w:sz="4" w:space="0" w:color="auto"/>
            </w:tcBorders>
            <w:shd w:val="clear" w:color="000000" w:fill="E7E6E6"/>
            <w:noWrap/>
            <w:vAlign w:val="bottom"/>
            <w:hideMark/>
          </w:tcPr>
          <w:p w14:paraId="3E5FE602" w14:textId="77777777" w:rsidR="0007685E" w:rsidRPr="0007685E" w:rsidRDefault="0007685E" w:rsidP="00E61F4E">
            <w:r w:rsidRPr="0007685E">
              <w:t>$1,969,959</w:t>
            </w:r>
          </w:p>
        </w:tc>
        <w:tc>
          <w:tcPr>
            <w:tcW w:w="1413" w:type="dxa"/>
            <w:tcBorders>
              <w:top w:val="nil"/>
              <w:left w:val="nil"/>
              <w:bottom w:val="single" w:sz="8" w:space="0" w:color="auto"/>
              <w:right w:val="single" w:sz="4" w:space="0" w:color="auto"/>
            </w:tcBorders>
            <w:shd w:val="clear" w:color="000000" w:fill="E7E6E6"/>
            <w:noWrap/>
            <w:vAlign w:val="bottom"/>
            <w:hideMark/>
          </w:tcPr>
          <w:p w14:paraId="0007AC2E" w14:textId="77777777" w:rsidR="0007685E" w:rsidRPr="0007685E" w:rsidRDefault="0007685E" w:rsidP="00E61F4E">
            <w:r w:rsidRPr="0007685E">
              <w:t>$2,352,413</w:t>
            </w:r>
          </w:p>
        </w:tc>
        <w:tc>
          <w:tcPr>
            <w:tcW w:w="1413" w:type="dxa"/>
            <w:tcBorders>
              <w:top w:val="nil"/>
              <w:left w:val="nil"/>
              <w:bottom w:val="single" w:sz="8" w:space="0" w:color="auto"/>
              <w:right w:val="single" w:sz="4" w:space="0" w:color="auto"/>
            </w:tcBorders>
            <w:shd w:val="clear" w:color="000000" w:fill="E7E6E6"/>
            <w:noWrap/>
            <w:vAlign w:val="bottom"/>
            <w:hideMark/>
          </w:tcPr>
          <w:p w14:paraId="4164FED5" w14:textId="77777777" w:rsidR="0007685E" w:rsidRPr="0007685E" w:rsidRDefault="0007685E" w:rsidP="00E61F4E">
            <w:r w:rsidRPr="0007685E">
              <w:t>$2,415,425</w:t>
            </w:r>
          </w:p>
        </w:tc>
        <w:tc>
          <w:tcPr>
            <w:tcW w:w="1413" w:type="dxa"/>
            <w:tcBorders>
              <w:top w:val="nil"/>
              <w:left w:val="nil"/>
              <w:bottom w:val="single" w:sz="8" w:space="0" w:color="auto"/>
              <w:right w:val="single" w:sz="4" w:space="0" w:color="auto"/>
            </w:tcBorders>
            <w:shd w:val="clear" w:color="000000" w:fill="E7E6E6"/>
            <w:noWrap/>
            <w:vAlign w:val="bottom"/>
            <w:hideMark/>
          </w:tcPr>
          <w:p w14:paraId="5A910BF8" w14:textId="77777777" w:rsidR="0007685E" w:rsidRPr="0007685E" w:rsidRDefault="0007685E" w:rsidP="00E61F4E">
            <w:r w:rsidRPr="0007685E">
              <w:t>$2,474,513</w:t>
            </w:r>
          </w:p>
        </w:tc>
        <w:tc>
          <w:tcPr>
            <w:tcW w:w="1546" w:type="dxa"/>
            <w:tcBorders>
              <w:top w:val="nil"/>
              <w:left w:val="nil"/>
              <w:bottom w:val="single" w:sz="8" w:space="0" w:color="auto"/>
              <w:right w:val="single" w:sz="8" w:space="0" w:color="auto"/>
            </w:tcBorders>
            <w:shd w:val="clear" w:color="000000" w:fill="E7E6E6"/>
            <w:noWrap/>
            <w:vAlign w:val="bottom"/>
            <w:hideMark/>
          </w:tcPr>
          <w:p w14:paraId="0985015D" w14:textId="77777777" w:rsidR="0007685E" w:rsidRPr="0007685E" w:rsidRDefault="0007685E" w:rsidP="00E61F4E">
            <w:r w:rsidRPr="0007685E">
              <w:t>$10,522,610</w:t>
            </w:r>
          </w:p>
        </w:tc>
      </w:tr>
    </w:tbl>
    <w:p w14:paraId="12750DB2" w14:textId="77777777" w:rsidR="005D100E" w:rsidRDefault="005D100E">
      <w:r>
        <w:br w:type="page"/>
      </w:r>
    </w:p>
    <w:tbl>
      <w:tblPr>
        <w:tblpPr w:leftFromText="180" w:rightFromText="180" w:vertAnchor="text" w:horzAnchor="margin" w:tblpXSpec="center" w:tblpY="575"/>
        <w:tblW w:w="11640" w:type="dxa"/>
        <w:tblLook w:val="04A0" w:firstRow="1" w:lastRow="0" w:firstColumn="1" w:lastColumn="0" w:noHBand="0" w:noVBand="1"/>
      </w:tblPr>
      <w:tblGrid>
        <w:gridCol w:w="3029"/>
        <w:gridCol w:w="1413"/>
        <w:gridCol w:w="1413"/>
        <w:gridCol w:w="1413"/>
        <w:gridCol w:w="1413"/>
        <w:gridCol w:w="1413"/>
        <w:gridCol w:w="1546"/>
      </w:tblGrid>
      <w:tr w:rsidR="0007685E" w:rsidRPr="0007685E" w14:paraId="674BE564" w14:textId="77777777" w:rsidTr="005D100E">
        <w:trPr>
          <w:trHeight w:val="288"/>
        </w:trPr>
        <w:tc>
          <w:tcPr>
            <w:tcW w:w="3029" w:type="dxa"/>
            <w:tcBorders>
              <w:top w:val="nil"/>
              <w:left w:val="nil"/>
              <w:bottom w:val="nil"/>
              <w:right w:val="nil"/>
            </w:tcBorders>
            <w:shd w:val="clear" w:color="auto" w:fill="auto"/>
            <w:noWrap/>
            <w:vAlign w:val="bottom"/>
            <w:hideMark/>
          </w:tcPr>
          <w:p w14:paraId="51F89DD2" w14:textId="2CE619B5" w:rsidR="0007685E" w:rsidRPr="0007685E" w:rsidRDefault="0007685E" w:rsidP="00E61F4E">
            <w:r w:rsidRPr="0007685E">
              <w:lastRenderedPageBreak/>
              <w:t>.</w:t>
            </w:r>
          </w:p>
        </w:tc>
        <w:tc>
          <w:tcPr>
            <w:tcW w:w="1413" w:type="dxa"/>
            <w:tcBorders>
              <w:top w:val="nil"/>
              <w:left w:val="nil"/>
              <w:bottom w:val="nil"/>
              <w:right w:val="nil"/>
            </w:tcBorders>
            <w:shd w:val="clear" w:color="auto" w:fill="auto"/>
            <w:noWrap/>
            <w:vAlign w:val="bottom"/>
            <w:hideMark/>
          </w:tcPr>
          <w:p w14:paraId="49CB6E02" w14:textId="77777777" w:rsidR="0007685E" w:rsidRPr="0007685E" w:rsidRDefault="0007685E" w:rsidP="00E61F4E">
            <w:r w:rsidRPr="0007685E">
              <w:t>.</w:t>
            </w:r>
          </w:p>
        </w:tc>
        <w:tc>
          <w:tcPr>
            <w:tcW w:w="1413" w:type="dxa"/>
            <w:tcBorders>
              <w:top w:val="nil"/>
              <w:left w:val="nil"/>
              <w:bottom w:val="nil"/>
              <w:right w:val="nil"/>
            </w:tcBorders>
            <w:shd w:val="clear" w:color="auto" w:fill="auto"/>
            <w:noWrap/>
            <w:vAlign w:val="bottom"/>
            <w:hideMark/>
          </w:tcPr>
          <w:p w14:paraId="1C483213" w14:textId="77777777" w:rsidR="0007685E" w:rsidRPr="0007685E" w:rsidRDefault="0007685E" w:rsidP="00E61F4E">
            <w:r w:rsidRPr="0007685E">
              <w:t>.</w:t>
            </w:r>
          </w:p>
        </w:tc>
        <w:tc>
          <w:tcPr>
            <w:tcW w:w="1413" w:type="dxa"/>
            <w:tcBorders>
              <w:top w:val="nil"/>
              <w:left w:val="nil"/>
              <w:bottom w:val="nil"/>
              <w:right w:val="nil"/>
            </w:tcBorders>
            <w:shd w:val="clear" w:color="auto" w:fill="auto"/>
            <w:noWrap/>
            <w:vAlign w:val="bottom"/>
            <w:hideMark/>
          </w:tcPr>
          <w:p w14:paraId="18B5B33C" w14:textId="77777777" w:rsidR="0007685E" w:rsidRPr="0007685E" w:rsidRDefault="0007685E" w:rsidP="00E61F4E">
            <w:r w:rsidRPr="0007685E">
              <w:t>.</w:t>
            </w:r>
          </w:p>
        </w:tc>
        <w:tc>
          <w:tcPr>
            <w:tcW w:w="1413" w:type="dxa"/>
            <w:tcBorders>
              <w:top w:val="nil"/>
              <w:left w:val="nil"/>
              <w:bottom w:val="nil"/>
              <w:right w:val="nil"/>
            </w:tcBorders>
            <w:shd w:val="clear" w:color="auto" w:fill="auto"/>
            <w:noWrap/>
            <w:vAlign w:val="bottom"/>
            <w:hideMark/>
          </w:tcPr>
          <w:p w14:paraId="0DA9BE58" w14:textId="77777777" w:rsidR="0007685E" w:rsidRPr="0007685E" w:rsidRDefault="0007685E" w:rsidP="00E61F4E">
            <w:r w:rsidRPr="0007685E">
              <w:t>.</w:t>
            </w:r>
          </w:p>
        </w:tc>
        <w:tc>
          <w:tcPr>
            <w:tcW w:w="1413" w:type="dxa"/>
            <w:tcBorders>
              <w:top w:val="nil"/>
              <w:left w:val="nil"/>
              <w:bottom w:val="nil"/>
              <w:right w:val="nil"/>
            </w:tcBorders>
            <w:shd w:val="clear" w:color="auto" w:fill="auto"/>
            <w:noWrap/>
            <w:vAlign w:val="bottom"/>
            <w:hideMark/>
          </w:tcPr>
          <w:p w14:paraId="43F7FCA0" w14:textId="77777777" w:rsidR="0007685E" w:rsidRPr="0007685E" w:rsidRDefault="0007685E" w:rsidP="00E61F4E">
            <w:r w:rsidRPr="0007685E">
              <w:t>.</w:t>
            </w:r>
          </w:p>
        </w:tc>
        <w:tc>
          <w:tcPr>
            <w:tcW w:w="1546" w:type="dxa"/>
            <w:tcBorders>
              <w:top w:val="nil"/>
              <w:left w:val="nil"/>
              <w:bottom w:val="nil"/>
              <w:right w:val="nil"/>
            </w:tcBorders>
            <w:shd w:val="clear" w:color="auto" w:fill="auto"/>
            <w:noWrap/>
            <w:vAlign w:val="bottom"/>
            <w:hideMark/>
          </w:tcPr>
          <w:p w14:paraId="1BA36AFB" w14:textId="77777777" w:rsidR="0007685E" w:rsidRPr="0007685E" w:rsidRDefault="0007685E" w:rsidP="00E61F4E">
            <w:r w:rsidRPr="0007685E">
              <w:t>.</w:t>
            </w:r>
          </w:p>
        </w:tc>
      </w:tr>
      <w:tr w:rsidR="0007685E" w:rsidRPr="0007685E" w14:paraId="5CF52209" w14:textId="77777777" w:rsidTr="005D100E">
        <w:trPr>
          <w:trHeight w:val="264"/>
        </w:trPr>
        <w:tc>
          <w:tcPr>
            <w:tcW w:w="3029" w:type="dxa"/>
            <w:tcBorders>
              <w:top w:val="single" w:sz="8" w:space="0" w:color="auto"/>
              <w:left w:val="single" w:sz="8" w:space="0" w:color="auto"/>
              <w:bottom w:val="single" w:sz="4" w:space="0" w:color="auto"/>
              <w:right w:val="single" w:sz="4" w:space="0" w:color="auto"/>
            </w:tcBorders>
            <w:shd w:val="clear" w:color="000000" w:fill="E7E6E6"/>
            <w:noWrap/>
            <w:vAlign w:val="bottom"/>
            <w:hideMark/>
          </w:tcPr>
          <w:p w14:paraId="65AC0EBC" w14:textId="77777777" w:rsidR="0007685E" w:rsidRPr="0007685E" w:rsidRDefault="0007685E" w:rsidP="00E61F4E">
            <w:r w:rsidRPr="0007685E">
              <w:t>EXPENSES</w:t>
            </w:r>
          </w:p>
        </w:tc>
        <w:tc>
          <w:tcPr>
            <w:tcW w:w="1413" w:type="dxa"/>
            <w:tcBorders>
              <w:top w:val="single" w:sz="8" w:space="0" w:color="auto"/>
              <w:left w:val="nil"/>
              <w:bottom w:val="single" w:sz="4" w:space="0" w:color="auto"/>
              <w:right w:val="single" w:sz="4" w:space="0" w:color="auto"/>
            </w:tcBorders>
            <w:shd w:val="clear" w:color="000000" w:fill="E7E6E6"/>
            <w:noWrap/>
            <w:vAlign w:val="bottom"/>
            <w:hideMark/>
          </w:tcPr>
          <w:p w14:paraId="14BE213C" w14:textId="77777777" w:rsidR="0007685E" w:rsidRPr="0007685E" w:rsidRDefault="0007685E" w:rsidP="00E61F4E">
            <w:r w:rsidRPr="0007685E">
              <w:t>Year 1</w:t>
            </w:r>
          </w:p>
        </w:tc>
        <w:tc>
          <w:tcPr>
            <w:tcW w:w="1413" w:type="dxa"/>
            <w:tcBorders>
              <w:top w:val="single" w:sz="8" w:space="0" w:color="auto"/>
              <w:left w:val="nil"/>
              <w:bottom w:val="single" w:sz="4" w:space="0" w:color="auto"/>
              <w:right w:val="single" w:sz="4" w:space="0" w:color="auto"/>
            </w:tcBorders>
            <w:shd w:val="clear" w:color="000000" w:fill="E7E6E6"/>
            <w:noWrap/>
            <w:vAlign w:val="bottom"/>
            <w:hideMark/>
          </w:tcPr>
          <w:p w14:paraId="5D0DB397" w14:textId="77777777" w:rsidR="0007685E" w:rsidRPr="0007685E" w:rsidRDefault="0007685E" w:rsidP="00E61F4E">
            <w:r w:rsidRPr="0007685E">
              <w:t>Year 2</w:t>
            </w:r>
          </w:p>
        </w:tc>
        <w:tc>
          <w:tcPr>
            <w:tcW w:w="1413" w:type="dxa"/>
            <w:tcBorders>
              <w:top w:val="single" w:sz="8" w:space="0" w:color="auto"/>
              <w:left w:val="nil"/>
              <w:bottom w:val="single" w:sz="4" w:space="0" w:color="auto"/>
              <w:right w:val="single" w:sz="4" w:space="0" w:color="auto"/>
            </w:tcBorders>
            <w:shd w:val="clear" w:color="000000" w:fill="E7E6E6"/>
            <w:noWrap/>
            <w:vAlign w:val="bottom"/>
            <w:hideMark/>
          </w:tcPr>
          <w:p w14:paraId="71AF9BEB" w14:textId="77777777" w:rsidR="0007685E" w:rsidRPr="0007685E" w:rsidRDefault="0007685E" w:rsidP="00E61F4E">
            <w:r w:rsidRPr="0007685E">
              <w:t>Year 3</w:t>
            </w:r>
          </w:p>
        </w:tc>
        <w:tc>
          <w:tcPr>
            <w:tcW w:w="1413" w:type="dxa"/>
            <w:tcBorders>
              <w:top w:val="single" w:sz="8" w:space="0" w:color="auto"/>
              <w:left w:val="nil"/>
              <w:bottom w:val="single" w:sz="4" w:space="0" w:color="auto"/>
              <w:right w:val="single" w:sz="4" w:space="0" w:color="auto"/>
            </w:tcBorders>
            <w:shd w:val="clear" w:color="000000" w:fill="E7E6E6"/>
            <w:noWrap/>
            <w:vAlign w:val="bottom"/>
            <w:hideMark/>
          </w:tcPr>
          <w:p w14:paraId="78FD6E12" w14:textId="77777777" w:rsidR="0007685E" w:rsidRPr="0007685E" w:rsidRDefault="0007685E" w:rsidP="00E61F4E">
            <w:r w:rsidRPr="0007685E">
              <w:t>Year 4</w:t>
            </w:r>
          </w:p>
        </w:tc>
        <w:tc>
          <w:tcPr>
            <w:tcW w:w="1413" w:type="dxa"/>
            <w:tcBorders>
              <w:top w:val="single" w:sz="8" w:space="0" w:color="auto"/>
              <w:left w:val="nil"/>
              <w:bottom w:val="single" w:sz="4" w:space="0" w:color="auto"/>
              <w:right w:val="single" w:sz="4" w:space="0" w:color="auto"/>
            </w:tcBorders>
            <w:shd w:val="clear" w:color="000000" w:fill="E7E6E6"/>
            <w:noWrap/>
            <w:vAlign w:val="bottom"/>
            <w:hideMark/>
          </w:tcPr>
          <w:p w14:paraId="2D74915D" w14:textId="77777777" w:rsidR="0007685E" w:rsidRPr="0007685E" w:rsidRDefault="0007685E" w:rsidP="00E61F4E">
            <w:r w:rsidRPr="0007685E">
              <w:t>Year 5</w:t>
            </w:r>
          </w:p>
        </w:tc>
        <w:tc>
          <w:tcPr>
            <w:tcW w:w="1546" w:type="dxa"/>
            <w:tcBorders>
              <w:top w:val="single" w:sz="8" w:space="0" w:color="auto"/>
              <w:left w:val="nil"/>
              <w:bottom w:val="single" w:sz="4" w:space="0" w:color="auto"/>
              <w:right w:val="single" w:sz="8" w:space="0" w:color="auto"/>
            </w:tcBorders>
            <w:shd w:val="clear" w:color="000000" w:fill="E7E6E6"/>
            <w:noWrap/>
            <w:vAlign w:val="bottom"/>
            <w:hideMark/>
          </w:tcPr>
          <w:p w14:paraId="6BF97B1E" w14:textId="77777777" w:rsidR="0007685E" w:rsidRPr="0007685E" w:rsidRDefault="0007685E" w:rsidP="00E61F4E">
            <w:r w:rsidRPr="0007685E">
              <w:t>5-Year Totals</w:t>
            </w:r>
          </w:p>
        </w:tc>
      </w:tr>
      <w:tr w:rsidR="0007685E" w:rsidRPr="0007685E" w14:paraId="33E546EA"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4327A217" w14:textId="77777777" w:rsidR="0007685E" w:rsidRPr="0007685E" w:rsidRDefault="0007685E" w:rsidP="00E61F4E">
            <w:r w:rsidRPr="0007685E">
              <w:t>DPC Admin., Ops., Overhe</w:t>
            </w:r>
            <w:r>
              <w:t>ad</w:t>
            </w:r>
          </w:p>
        </w:tc>
        <w:tc>
          <w:tcPr>
            <w:tcW w:w="1413" w:type="dxa"/>
            <w:tcBorders>
              <w:top w:val="nil"/>
              <w:left w:val="nil"/>
              <w:bottom w:val="nil"/>
              <w:right w:val="nil"/>
            </w:tcBorders>
            <w:shd w:val="clear" w:color="auto" w:fill="auto"/>
            <w:noWrap/>
            <w:vAlign w:val="bottom"/>
            <w:hideMark/>
          </w:tcPr>
          <w:p w14:paraId="628218A1" w14:textId="77777777" w:rsidR="0007685E" w:rsidRPr="0007685E" w:rsidRDefault="0007685E" w:rsidP="00E61F4E">
            <w:r w:rsidRPr="0007685E">
              <w:t>$765,300</w:t>
            </w:r>
          </w:p>
        </w:tc>
        <w:tc>
          <w:tcPr>
            <w:tcW w:w="1413" w:type="dxa"/>
            <w:tcBorders>
              <w:top w:val="nil"/>
              <w:left w:val="single" w:sz="4" w:space="0" w:color="auto"/>
              <w:bottom w:val="nil"/>
              <w:right w:val="single" w:sz="4" w:space="0" w:color="auto"/>
            </w:tcBorders>
            <w:shd w:val="clear" w:color="auto" w:fill="auto"/>
            <w:noWrap/>
            <w:vAlign w:val="bottom"/>
            <w:hideMark/>
          </w:tcPr>
          <w:p w14:paraId="33F7D53F" w14:textId="77777777" w:rsidR="0007685E" w:rsidRPr="0007685E" w:rsidRDefault="0007685E" w:rsidP="00E61F4E">
            <w:r w:rsidRPr="0007685E">
              <w:t>$1,398,459</w:t>
            </w:r>
          </w:p>
        </w:tc>
        <w:tc>
          <w:tcPr>
            <w:tcW w:w="1413" w:type="dxa"/>
            <w:tcBorders>
              <w:top w:val="nil"/>
              <w:left w:val="nil"/>
              <w:bottom w:val="nil"/>
              <w:right w:val="single" w:sz="4" w:space="0" w:color="auto"/>
            </w:tcBorders>
            <w:shd w:val="clear" w:color="auto" w:fill="auto"/>
            <w:noWrap/>
            <w:vAlign w:val="bottom"/>
            <w:hideMark/>
          </w:tcPr>
          <w:p w14:paraId="45BC95EC" w14:textId="77777777" w:rsidR="0007685E" w:rsidRPr="0007685E" w:rsidRDefault="0007685E" w:rsidP="00E61F4E">
            <w:r w:rsidRPr="0007685E">
              <w:t>$1,750,413</w:t>
            </w:r>
          </w:p>
        </w:tc>
        <w:tc>
          <w:tcPr>
            <w:tcW w:w="1413" w:type="dxa"/>
            <w:tcBorders>
              <w:top w:val="nil"/>
              <w:left w:val="nil"/>
              <w:bottom w:val="nil"/>
              <w:right w:val="single" w:sz="4" w:space="0" w:color="auto"/>
            </w:tcBorders>
            <w:shd w:val="clear" w:color="auto" w:fill="auto"/>
            <w:noWrap/>
            <w:vAlign w:val="bottom"/>
            <w:hideMark/>
          </w:tcPr>
          <w:p w14:paraId="6ED055E0" w14:textId="77777777" w:rsidR="0007685E" w:rsidRPr="0007685E" w:rsidRDefault="0007685E" w:rsidP="00E61F4E">
            <w:r w:rsidRPr="0007685E">
              <w:t>$1,802,925</w:t>
            </w:r>
          </w:p>
        </w:tc>
        <w:tc>
          <w:tcPr>
            <w:tcW w:w="1413" w:type="dxa"/>
            <w:tcBorders>
              <w:top w:val="nil"/>
              <w:left w:val="nil"/>
              <w:bottom w:val="nil"/>
              <w:right w:val="single" w:sz="4" w:space="0" w:color="auto"/>
            </w:tcBorders>
            <w:shd w:val="clear" w:color="auto" w:fill="auto"/>
            <w:noWrap/>
            <w:vAlign w:val="bottom"/>
            <w:hideMark/>
          </w:tcPr>
          <w:p w14:paraId="497B55BB" w14:textId="77777777" w:rsidR="0007685E" w:rsidRPr="0007685E" w:rsidRDefault="0007685E" w:rsidP="00E61F4E">
            <w:r w:rsidRPr="0007685E">
              <w:t>$1,857,013</w:t>
            </w:r>
          </w:p>
        </w:tc>
        <w:tc>
          <w:tcPr>
            <w:tcW w:w="1546" w:type="dxa"/>
            <w:tcBorders>
              <w:top w:val="nil"/>
              <w:left w:val="nil"/>
              <w:bottom w:val="nil"/>
              <w:right w:val="single" w:sz="8" w:space="0" w:color="auto"/>
            </w:tcBorders>
            <w:shd w:val="clear" w:color="auto" w:fill="auto"/>
            <w:noWrap/>
            <w:vAlign w:val="bottom"/>
            <w:hideMark/>
          </w:tcPr>
          <w:p w14:paraId="1B94BB61" w14:textId="77777777" w:rsidR="0007685E" w:rsidRPr="0007685E" w:rsidRDefault="0007685E" w:rsidP="00E61F4E">
            <w:r w:rsidRPr="0007685E">
              <w:t>$7,574,110</w:t>
            </w:r>
          </w:p>
        </w:tc>
      </w:tr>
      <w:tr w:rsidR="0007685E" w:rsidRPr="0007685E" w14:paraId="55668320"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7DDE4E34" w14:textId="77777777" w:rsidR="0007685E" w:rsidRPr="0007685E" w:rsidRDefault="0007685E" w:rsidP="00E61F4E">
            <w:r w:rsidRPr="0007685E">
              <w:t>Consultant/Partner Support</w:t>
            </w:r>
          </w:p>
        </w:tc>
        <w:tc>
          <w:tcPr>
            <w:tcW w:w="1413" w:type="dxa"/>
            <w:tcBorders>
              <w:top w:val="nil"/>
              <w:left w:val="nil"/>
              <w:bottom w:val="nil"/>
              <w:right w:val="single" w:sz="4" w:space="0" w:color="auto"/>
            </w:tcBorders>
            <w:shd w:val="clear" w:color="auto" w:fill="auto"/>
            <w:noWrap/>
            <w:vAlign w:val="bottom"/>
            <w:hideMark/>
          </w:tcPr>
          <w:p w14:paraId="546B20DE" w14:textId="77777777" w:rsidR="0007685E" w:rsidRPr="0007685E" w:rsidRDefault="0007685E" w:rsidP="00E61F4E">
            <w:r w:rsidRPr="0007685E">
              <w:t>$100,000</w:t>
            </w:r>
          </w:p>
        </w:tc>
        <w:tc>
          <w:tcPr>
            <w:tcW w:w="1413" w:type="dxa"/>
            <w:tcBorders>
              <w:top w:val="nil"/>
              <w:left w:val="nil"/>
              <w:bottom w:val="nil"/>
              <w:right w:val="single" w:sz="4" w:space="0" w:color="auto"/>
            </w:tcBorders>
            <w:shd w:val="clear" w:color="auto" w:fill="auto"/>
            <w:noWrap/>
            <w:vAlign w:val="bottom"/>
            <w:hideMark/>
          </w:tcPr>
          <w:p w14:paraId="2CD8C7C8" w14:textId="77777777" w:rsidR="0007685E" w:rsidRPr="0007685E" w:rsidRDefault="0007685E" w:rsidP="00E61F4E">
            <w:r w:rsidRPr="0007685E">
              <w:t>$200,000</w:t>
            </w:r>
          </w:p>
        </w:tc>
        <w:tc>
          <w:tcPr>
            <w:tcW w:w="1413" w:type="dxa"/>
            <w:tcBorders>
              <w:top w:val="nil"/>
              <w:left w:val="nil"/>
              <w:bottom w:val="nil"/>
              <w:right w:val="single" w:sz="4" w:space="0" w:color="auto"/>
            </w:tcBorders>
            <w:shd w:val="clear" w:color="auto" w:fill="auto"/>
            <w:noWrap/>
            <w:vAlign w:val="bottom"/>
            <w:hideMark/>
          </w:tcPr>
          <w:p w14:paraId="1375030C" w14:textId="77777777" w:rsidR="0007685E" w:rsidRPr="0007685E" w:rsidRDefault="0007685E" w:rsidP="00E61F4E">
            <w:r w:rsidRPr="0007685E">
              <w:t>$175,000</w:t>
            </w:r>
          </w:p>
        </w:tc>
        <w:tc>
          <w:tcPr>
            <w:tcW w:w="1413" w:type="dxa"/>
            <w:tcBorders>
              <w:top w:val="nil"/>
              <w:left w:val="nil"/>
              <w:bottom w:val="nil"/>
              <w:right w:val="single" w:sz="4" w:space="0" w:color="auto"/>
            </w:tcBorders>
            <w:shd w:val="clear" w:color="auto" w:fill="auto"/>
            <w:noWrap/>
            <w:vAlign w:val="bottom"/>
            <w:hideMark/>
          </w:tcPr>
          <w:p w14:paraId="0B02B077" w14:textId="77777777" w:rsidR="0007685E" w:rsidRPr="0007685E" w:rsidRDefault="0007685E" w:rsidP="00E61F4E">
            <w:r w:rsidRPr="0007685E">
              <w:t>$175,000</w:t>
            </w:r>
          </w:p>
        </w:tc>
        <w:tc>
          <w:tcPr>
            <w:tcW w:w="1413" w:type="dxa"/>
            <w:tcBorders>
              <w:top w:val="nil"/>
              <w:left w:val="nil"/>
              <w:bottom w:val="nil"/>
              <w:right w:val="single" w:sz="4" w:space="0" w:color="auto"/>
            </w:tcBorders>
            <w:shd w:val="clear" w:color="auto" w:fill="auto"/>
            <w:noWrap/>
            <w:vAlign w:val="bottom"/>
            <w:hideMark/>
          </w:tcPr>
          <w:p w14:paraId="01387530" w14:textId="77777777" w:rsidR="0007685E" w:rsidRPr="0007685E" w:rsidRDefault="0007685E" w:rsidP="00E61F4E">
            <w:r w:rsidRPr="0007685E">
              <w:t>$175,000</w:t>
            </w:r>
          </w:p>
        </w:tc>
        <w:tc>
          <w:tcPr>
            <w:tcW w:w="1546" w:type="dxa"/>
            <w:tcBorders>
              <w:top w:val="nil"/>
              <w:left w:val="nil"/>
              <w:bottom w:val="nil"/>
              <w:right w:val="single" w:sz="8" w:space="0" w:color="auto"/>
            </w:tcBorders>
            <w:shd w:val="clear" w:color="auto" w:fill="auto"/>
            <w:noWrap/>
            <w:vAlign w:val="bottom"/>
            <w:hideMark/>
          </w:tcPr>
          <w:p w14:paraId="6DF46F80" w14:textId="77777777" w:rsidR="0007685E" w:rsidRPr="0007685E" w:rsidRDefault="0007685E" w:rsidP="00E61F4E">
            <w:r w:rsidRPr="0007685E">
              <w:t>$825,000</w:t>
            </w:r>
          </w:p>
        </w:tc>
      </w:tr>
      <w:tr w:rsidR="0007685E" w:rsidRPr="0007685E" w14:paraId="30AD8A92"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58C15125" w14:textId="77777777" w:rsidR="0007685E" w:rsidRPr="0007685E" w:rsidRDefault="0007685E" w:rsidP="00E61F4E">
            <w:r w:rsidRPr="0007685E">
              <w:t>Grants to NHA Partners</w:t>
            </w:r>
          </w:p>
        </w:tc>
        <w:tc>
          <w:tcPr>
            <w:tcW w:w="1413" w:type="dxa"/>
            <w:tcBorders>
              <w:top w:val="nil"/>
              <w:left w:val="nil"/>
              <w:bottom w:val="nil"/>
              <w:right w:val="single" w:sz="4" w:space="0" w:color="auto"/>
            </w:tcBorders>
            <w:shd w:val="clear" w:color="auto" w:fill="auto"/>
            <w:noWrap/>
            <w:vAlign w:val="bottom"/>
            <w:hideMark/>
          </w:tcPr>
          <w:p w14:paraId="0B52CF36" w14:textId="77777777" w:rsidR="0007685E" w:rsidRPr="0007685E" w:rsidRDefault="0007685E" w:rsidP="00E61F4E">
            <w:r w:rsidRPr="0007685E">
              <w:t>$150,000</w:t>
            </w:r>
          </w:p>
        </w:tc>
        <w:tc>
          <w:tcPr>
            <w:tcW w:w="1413" w:type="dxa"/>
            <w:tcBorders>
              <w:top w:val="nil"/>
              <w:left w:val="nil"/>
              <w:bottom w:val="nil"/>
              <w:right w:val="single" w:sz="4" w:space="0" w:color="auto"/>
            </w:tcBorders>
            <w:shd w:val="clear" w:color="auto" w:fill="auto"/>
            <w:noWrap/>
            <w:vAlign w:val="bottom"/>
            <w:hideMark/>
          </w:tcPr>
          <w:p w14:paraId="02E40B22" w14:textId="77777777" w:rsidR="0007685E" w:rsidRPr="0007685E" w:rsidRDefault="0007685E" w:rsidP="00E61F4E">
            <w:r w:rsidRPr="0007685E">
              <w:t>$200,000</w:t>
            </w:r>
          </w:p>
        </w:tc>
        <w:tc>
          <w:tcPr>
            <w:tcW w:w="1413" w:type="dxa"/>
            <w:tcBorders>
              <w:top w:val="nil"/>
              <w:left w:val="nil"/>
              <w:bottom w:val="nil"/>
              <w:right w:val="single" w:sz="4" w:space="0" w:color="auto"/>
            </w:tcBorders>
            <w:shd w:val="clear" w:color="auto" w:fill="auto"/>
            <w:noWrap/>
            <w:vAlign w:val="bottom"/>
            <w:hideMark/>
          </w:tcPr>
          <w:p w14:paraId="018BD9E4" w14:textId="77777777" w:rsidR="0007685E" w:rsidRPr="0007685E" w:rsidRDefault="0007685E" w:rsidP="00E61F4E">
            <w:r w:rsidRPr="0007685E">
              <w:t>$250,000</w:t>
            </w:r>
          </w:p>
        </w:tc>
        <w:tc>
          <w:tcPr>
            <w:tcW w:w="1413" w:type="dxa"/>
            <w:tcBorders>
              <w:top w:val="nil"/>
              <w:left w:val="nil"/>
              <w:bottom w:val="nil"/>
              <w:right w:val="single" w:sz="4" w:space="0" w:color="auto"/>
            </w:tcBorders>
            <w:shd w:val="clear" w:color="auto" w:fill="auto"/>
            <w:noWrap/>
            <w:vAlign w:val="bottom"/>
            <w:hideMark/>
          </w:tcPr>
          <w:p w14:paraId="6D32BEB1" w14:textId="77777777" w:rsidR="0007685E" w:rsidRPr="0007685E" w:rsidRDefault="0007685E" w:rsidP="00E61F4E">
            <w:r w:rsidRPr="0007685E">
              <w:t>$300,000</w:t>
            </w:r>
          </w:p>
        </w:tc>
        <w:tc>
          <w:tcPr>
            <w:tcW w:w="1413" w:type="dxa"/>
            <w:tcBorders>
              <w:top w:val="nil"/>
              <w:left w:val="nil"/>
              <w:bottom w:val="nil"/>
              <w:right w:val="single" w:sz="4" w:space="0" w:color="auto"/>
            </w:tcBorders>
            <w:shd w:val="clear" w:color="auto" w:fill="auto"/>
            <w:noWrap/>
            <w:vAlign w:val="bottom"/>
            <w:hideMark/>
          </w:tcPr>
          <w:p w14:paraId="4ECA8C59" w14:textId="77777777" w:rsidR="0007685E" w:rsidRPr="0007685E" w:rsidRDefault="0007685E" w:rsidP="00E61F4E">
            <w:r w:rsidRPr="0007685E">
              <w:t>$300,000</w:t>
            </w:r>
          </w:p>
        </w:tc>
        <w:tc>
          <w:tcPr>
            <w:tcW w:w="1546" w:type="dxa"/>
            <w:tcBorders>
              <w:top w:val="nil"/>
              <w:left w:val="nil"/>
              <w:bottom w:val="nil"/>
              <w:right w:val="single" w:sz="8" w:space="0" w:color="auto"/>
            </w:tcBorders>
            <w:shd w:val="clear" w:color="auto" w:fill="auto"/>
            <w:noWrap/>
            <w:vAlign w:val="bottom"/>
            <w:hideMark/>
          </w:tcPr>
          <w:p w14:paraId="4B770953" w14:textId="77777777" w:rsidR="0007685E" w:rsidRPr="0007685E" w:rsidRDefault="0007685E" w:rsidP="00E61F4E">
            <w:r w:rsidRPr="0007685E">
              <w:t>$1,200,000</w:t>
            </w:r>
          </w:p>
        </w:tc>
      </w:tr>
      <w:tr w:rsidR="0007685E" w:rsidRPr="0007685E" w14:paraId="5D5DE376"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0CA9DF94" w14:textId="77777777" w:rsidR="0007685E" w:rsidRPr="0007685E" w:rsidRDefault="0007685E" w:rsidP="00E61F4E">
            <w:r w:rsidRPr="0007685E">
              <w:t>Printing, Copying, Postage</w:t>
            </w:r>
          </w:p>
        </w:tc>
        <w:tc>
          <w:tcPr>
            <w:tcW w:w="1413" w:type="dxa"/>
            <w:tcBorders>
              <w:top w:val="nil"/>
              <w:left w:val="nil"/>
              <w:bottom w:val="nil"/>
              <w:right w:val="single" w:sz="4" w:space="0" w:color="auto"/>
            </w:tcBorders>
            <w:shd w:val="clear" w:color="auto" w:fill="auto"/>
            <w:noWrap/>
            <w:vAlign w:val="bottom"/>
            <w:hideMark/>
          </w:tcPr>
          <w:p w14:paraId="6BF2F0C1" w14:textId="77777777" w:rsidR="0007685E" w:rsidRPr="0007685E" w:rsidRDefault="0007685E" w:rsidP="00E61F4E">
            <w:r w:rsidRPr="0007685E">
              <w:t>$10,000</w:t>
            </w:r>
          </w:p>
        </w:tc>
        <w:tc>
          <w:tcPr>
            <w:tcW w:w="1413" w:type="dxa"/>
            <w:tcBorders>
              <w:top w:val="nil"/>
              <w:left w:val="nil"/>
              <w:bottom w:val="nil"/>
              <w:right w:val="single" w:sz="4" w:space="0" w:color="auto"/>
            </w:tcBorders>
            <w:shd w:val="clear" w:color="auto" w:fill="auto"/>
            <w:noWrap/>
            <w:vAlign w:val="bottom"/>
            <w:hideMark/>
          </w:tcPr>
          <w:p w14:paraId="620AFA99" w14:textId="77777777" w:rsidR="0007685E" w:rsidRPr="0007685E" w:rsidRDefault="0007685E" w:rsidP="00E61F4E">
            <w:r w:rsidRPr="0007685E">
              <w:t>$12,500</w:t>
            </w:r>
          </w:p>
        </w:tc>
        <w:tc>
          <w:tcPr>
            <w:tcW w:w="1413" w:type="dxa"/>
            <w:tcBorders>
              <w:top w:val="nil"/>
              <w:left w:val="nil"/>
              <w:bottom w:val="nil"/>
              <w:right w:val="single" w:sz="4" w:space="0" w:color="auto"/>
            </w:tcBorders>
            <w:shd w:val="clear" w:color="auto" w:fill="auto"/>
            <w:noWrap/>
            <w:vAlign w:val="bottom"/>
            <w:hideMark/>
          </w:tcPr>
          <w:p w14:paraId="5A3C9B5E" w14:textId="77777777" w:rsidR="0007685E" w:rsidRPr="0007685E" w:rsidRDefault="0007685E" w:rsidP="00E61F4E">
            <w:r w:rsidRPr="0007685E">
              <w:t>$15,000</w:t>
            </w:r>
          </w:p>
        </w:tc>
        <w:tc>
          <w:tcPr>
            <w:tcW w:w="1413" w:type="dxa"/>
            <w:tcBorders>
              <w:top w:val="nil"/>
              <w:left w:val="nil"/>
              <w:bottom w:val="nil"/>
              <w:right w:val="single" w:sz="4" w:space="0" w:color="auto"/>
            </w:tcBorders>
            <w:shd w:val="clear" w:color="auto" w:fill="auto"/>
            <w:noWrap/>
            <w:vAlign w:val="bottom"/>
            <w:hideMark/>
          </w:tcPr>
          <w:p w14:paraId="6221528B" w14:textId="77777777" w:rsidR="0007685E" w:rsidRPr="0007685E" w:rsidRDefault="0007685E" w:rsidP="00E61F4E">
            <w:r w:rsidRPr="0007685E">
              <w:t>$15,000</w:t>
            </w:r>
          </w:p>
        </w:tc>
        <w:tc>
          <w:tcPr>
            <w:tcW w:w="1413" w:type="dxa"/>
            <w:tcBorders>
              <w:top w:val="nil"/>
              <w:left w:val="nil"/>
              <w:bottom w:val="nil"/>
              <w:right w:val="single" w:sz="4" w:space="0" w:color="auto"/>
            </w:tcBorders>
            <w:shd w:val="clear" w:color="auto" w:fill="auto"/>
            <w:noWrap/>
            <w:vAlign w:val="bottom"/>
            <w:hideMark/>
          </w:tcPr>
          <w:p w14:paraId="33687FD4" w14:textId="77777777" w:rsidR="0007685E" w:rsidRPr="0007685E" w:rsidRDefault="0007685E" w:rsidP="00E61F4E">
            <w:r w:rsidRPr="0007685E">
              <w:t>$15,000</w:t>
            </w:r>
          </w:p>
        </w:tc>
        <w:tc>
          <w:tcPr>
            <w:tcW w:w="1546" w:type="dxa"/>
            <w:tcBorders>
              <w:top w:val="nil"/>
              <w:left w:val="nil"/>
              <w:bottom w:val="nil"/>
              <w:right w:val="single" w:sz="8" w:space="0" w:color="auto"/>
            </w:tcBorders>
            <w:shd w:val="clear" w:color="auto" w:fill="auto"/>
            <w:noWrap/>
            <w:vAlign w:val="bottom"/>
            <w:hideMark/>
          </w:tcPr>
          <w:p w14:paraId="4AFCBFFB" w14:textId="77777777" w:rsidR="0007685E" w:rsidRPr="0007685E" w:rsidRDefault="0007685E" w:rsidP="00E61F4E">
            <w:r w:rsidRPr="0007685E">
              <w:t>$67,500</w:t>
            </w:r>
          </w:p>
        </w:tc>
      </w:tr>
      <w:tr w:rsidR="0007685E" w:rsidRPr="0007685E" w14:paraId="28DC34A3"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75EC198E" w14:textId="77777777" w:rsidR="0007685E" w:rsidRPr="0007685E" w:rsidRDefault="0007685E" w:rsidP="00E61F4E">
            <w:r w:rsidRPr="0007685E">
              <w:t>Pro</w:t>
            </w:r>
            <w:r>
              <w:t>f.</w:t>
            </w:r>
            <w:r w:rsidRPr="0007685E">
              <w:t xml:space="preserve"> Expenses (Board/Staff)</w:t>
            </w:r>
          </w:p>
        </w:tc>
        <w:tc>
          <w:tcPr>
            <w:tcW w:w="1413" w:type="dxa"/>
            <w:tcBorders>
              <w:top w:val="nil"/>
              <w:left w:val="nil"/>
              <w:bottom w:val="nil"/>
              <w:right w:val="single" w:sz="4" w:space="0" w:color="auto"/>
            </w:tcBorders>
            <w:shd w:val="clear" w:color="auto" w:fill="auto"/>
            <w:noWrap/>
            <w:vAlign w:val="bottom"/>
            <w:hideMark/>
          </w:tcPr>
          <w:p w14:paraId="7D9D47CE" w14:textId="77777777" w:rsidR="0007685E" w:rsidRPr="0007685E" w:rsidRDefault="0007685E" w:rsidP="00E61F4E">
            <w:r w:rsidRPr="0007685E">
              <w:t>$10,000</w:t>
            </w:r>
          </w:p>
        </w:tc>
        <w:tc>
          <w:tcPr>
            <w:tcW w:w="1413" w:type="dxa"/>
            <w:tcBorders>
              <w:top w:val="nil"/>
              <w:left w:val="nil"/>
              <w:bottom w:val="nil"/>
              <w:right w:val="single" w:sz="4" w:space="0" w:color="auto"/>
            </w:tcBorders>
            <w:shd w:val="clear" w:color="auto" w:fill="auto"/>
            <w:noWrap/>
            <w:vAlign w:val="bottom"/>
            <w:hideMark/>
          </w:tcPr>
          <w:p w14:paraId="15D8A758" w14:textId="77777777" w:rsidR="0007685E" w:rsidRPr="0007685E" w:rsidRDefault="0007685E" w:rsidP="00E61F4E">
            <w:r w:rsidRPr="0007685E">
              <w:t>$12,500</w:t>
            </w:r>
          </w:p>
        </w:tc>
        <w:tc>
          <w:tcPr>
            <w:tcW w:w="1413" w:type="dxa"/>
            <w:tcBorders>
              <w:top w:val="nil"/>
              <w:left w:val="nil"/>
              <w:bottom w:val="nil"/>
              <w:right w:val="single" w:sz="4" w:space="0" w:color="auto"/>
            </w:tcBorders>
            <w:shd w:val="clear" w:color="auto" w:fill="auto"/>
            <w:noWrap/>
            <w:vAlign w:val="bottom"/>
            <w:hideMark/>
          </w:tcPr>
          <w:p w14:paraId="33989809" w14:textId="77777777" w:rsidR="0007685E" w:rsidRPr="0007685E" w:rsidRDefault="0007685E" w:rsidP="00E61F4E">
            <w:r w:rsidRPr="0007685E">
              <w:t>$15,000</w:t>
            </w:r>
          </w:p>
        </w:tc>
        <w:tc>
          <w:tcPr>
            <w:tcW w:w="1413" w:type="dxa"/>
            <w:tcBorders>
              <w:top w:val="nil"/>
              <w:left w:val="nil"/>
              <w:bottom w:val="nil"/>
              <w:right w:val="single" w:sz="4" w:space="0" w:color="auto"/>
            </w:tcBorders>
            <w:shd w:val="clear" w:color="auto" w:fill="auto"/>
            <w:noWrap/>
            <w:vAlign w:val="bottom"/>
            <w:hideMark/>
          </w:tcPr>
          <w:p w14:paraId="000D6C89" w14:textId="77777777" w:rsidR="0007685E" w:rsidRPr="0007685E" w:rsidRDefault="0007685E" w:rsidP="00E61F4E">
            <w:r w:rsidRPr="0007685E">
              <w:t>$17,500</w:t>
            </w:r>
          </w:p>
        </w:tc>
        <w:tc>
          <w:tcPr>
            <w:tcW w:w="1413" w:type="dxa"/>
            <w:tcBorders>
              <w:top w:val="nil"/>
              <w:left w:val="nil"/>
              <w:bottom w:val="nil"/>
              <w:right w:val="single" w:sz="4" w:space="0" w:color="auto"/>
            </w:tcBorders>
            <w:shd w:val="clear" w:color="auto" w:fill="auto"/>
            <w:noWrap/>
            <w:vAlign w:val="bottom"/>
            <w:hideMark/>
          </w:tcPr>
          <w:p w14:paraId="1E098064" w14:textId="77777777" w:rsidR="0007685E" w:rsidRPr="0007685E" w:rsidRDefault="0007685E" w:rsidP="00E61F4E">
            <w:r w:rsidRPr="0007685E">
              <w:t>$20,000</w:t>
            </w:r>
          </w:p>
        </w:tc>
        <w:tc>
          <w:tcPr>
            <w:tcW w:w="1546" w:type="dxa"/>
            <w:tcBorders>
              <w:top w:val="nil"/>
              <w:left w:val="nil"/>
              <w:bottom w:val="nil"/>
              <w:right w:val="single" w:sz="8" w:space="0" w:color="auto"/>
            </w:tcBorders>
            <w:shd w:val="clear" w:color="auto" w:fill="auto"/>
            <w:noWrap/>
            <w:vAlign w:val="bottom"/>
            <w:hideMark/>
          </w:tcPr>
          <w:p w14:paraId="6D8F2DC8" w14:textId="77777777" w:rsidR="0007685E" w:rsidRPr="0007685E" w:rsidRDefault="0007685E" w:rsidP="00E61F4E">
            <w:r w:rsidRPr="0007685E">
              <w:t>$75,000</w:t>
            </w:r>
          </w:p>
        </w:tc>
      </w:tr>
      <w:tr w:rsidR="0007685E" w:rsidRPr="0007685E" w14:paraId="569E9F20"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22DC291C" w14:textId="77777777" w:rsidR="0007685E" w:rsidRPr="0007685E" w:rsidRDefault="0007685E" w:rsidP="00E61F4E">
            <w:r w:rsidRPr="0007685E">
              <w:t>Program Expenses</w:t>
            </w:r>
          </w:p>
        </w:tc>
        <w:tc>
          <w:tcPr>
            <w:tcW w:w="1413" w:type="dxa"/>
            <w:tcBorders>
              <w:top w:val="nil"/>
              <w:left w:val="nil"/>
              <w:bottom w:val="nil"/>
              <w:right w:val="single" w:sz="4" w:space="0" w:color="auto"/>
            </w:tcBorders>
            <w:shd w:val="clear" w:color="auto" w:fill="auto"/>
            <w:noWrap/>
            <w:vAlign w:val="bottom"/>
            <w:hideMark/>
          </w:tcPr>
          <w:p w14:paraId="7321CD1E" w14:textId="77777777" w:rsidR="0007685E" w:rsidRPr="0007685E" w:rsidRDefault="0007685E" w:rsidP="00E61F4E">
            <w:r w:rsidRPr="0007685E">
              <w:t>$10,000</w:t>
            </w:r>
          </w:p>
        </w:tc>
        <w:tc>
          <w:tcPr>
            <w:tcW w:w="1413" w:type="dxa"/>
            <w:tcBorders>
              <w:top w:val="nil"/>
              <w:left w:val="nil"/>
              <w:bottom w:val="nil"/>
              <w:right w:val="single" w:sz="4" w:space="0" w:color="auto"/>
            </w:tcBorders>
            <w:shd w:val="clear" w:color="auto" w:fill="auto"/>
            <w:noWrap/>
            <w:vAlign w:val="bottom"/>
            <w:hideMark/>
          </w:tcPr>
          <w:p w14:paraId="72C6EFB5" w14:textId="77777777" w:rsidR="0007685E" w:rsidRPr="0007685E" w:rsidRDefault="0007685E" w:rsidP="00E61F4E">
            <w:r w:rsidRPr="0007685E">
              <w:t>$15,000</w:t>
            </w:r>
          </w:p>
        </w:tc>
        <w:tc>
          <w:tcPr>
            <w:tcW w:w="1413" w:type="dxa"/>
            <w:tcBorders>
              <w:top w:val="nil"/>
              <w:left w:val="nil"/>
              <w:bottom w:val="nil"/>
              <w:right w:val="single" w:sz="4" w:space="0" w:color="auto"/>
            </w:tcBorders>
            <w:shd w:val="clear" w:color="auto" w:fill="auto"/>
            <w:noWrap/>
            <w:vAlign w:val="bottom"/>
            <w:hideMark/>
          </w:tcPr>
          <w:p w14:paraId="54E6DDAD" w14:textId="77777777" w:rsidR="0007685E" w:rsidRPr="0007685E" w:rsidRDefault="0007685E" w:rsidP="00E61F4E">
            <w:r w:rsidRPr="0007685E">
              <w:t>$20,000</w:t>
            </w:r>
          </w:p>
        </w:tc>
        <w:tc>
          <w:tcPr>
            <w:tcW w:w="1413" w:type="dxa"/>
            <w:tcBorders>
              <w:top w:val="nil"/>
              <w:left w:val="nil"/>
              <w:bottom w:val="nil"/>
              <w:right w:val="single" w:sz="4" w:space="0" w:color="auto"/>
            </w:tcBorders>
            <w:shd w:val="clear" w:color="auto" w:fill="auto"/>
            <w:noWrap/>
            <w:vAlign w:val="bottom"/>
            <w:hideMark/>
          </w:tcPr>
          <w:p w14:paraId="37D3177B" w14:textId="77777777" w:rsidR="0007685E" w:rsidRPr="0007685E" w:rsidRDefault="0007685E" w:rsidP="00E61F4E">
            <w:r w:rsidRPr="0007685E">
              <w:t>$25,000</w:t>
            </w:r>
          </w:p>
        </w:tc>
        <w:tc>
          <w:tcPr>
            <w:tcW w:w="1413" w:type="dxa"/>
            <w:tcBorders>
              <w:top w:val="nil"/>
              <w:left w:val="nil"/>
              <w:bottom w:val="nil"/>
              <w:right w:val="single" w:sz="4" w:space="0" w:color="auto"/>
            </w:tcBorders>
            <w:shd w:val="clear" w:color="auto" w:fill="auto"/>
            <w:noWrap/>
            <w:vAlign w:val="bottom"/>
            <w:hideMark/>
          </w:tcPr>
          <w:p w14:paraId="38389729" w14:textId="77777777" w:rsidR="0007685E" w:rsidRPr="0007685E" w:rsidRDefault="0007685E" w:rsidP="00E61F4E">
            <w:r w:rsidRPr="0007685E">
              <w:t>$25,000</w:t>
            </w:r>
          </w:p>
        </w:tc>
        <w:tc>
          <w:tcPr>
            <w:tcW w:w="1546" w:type="dxa"/>
            <w:tcBorders>
              <w:top w:val="nil"/>
              <w:left w:val="nil"/>
              <w:bottom w:val="nil"/>
              <w:right w:val="single" w:sz="8" w:space="0" w:color="auto"/>
            </w:tcBorders>
            <w:shd w:val="clear" w:color="auto" w:fill="auto"/>
            <w:noWrap/>
            <w:vAlign w:val="bottom"/>
            <w:hideMark/>
          </w:tcPr>
          <w:p w14:paraId="6E0BD2B0" w14:textId="77777777" w:rsidR="0007685E" w:rsidRPr="0007685E" w:rsidRDefault="0007685E" w:rsidP="00E61F4E">
            <w:r w:rsidRPr="0007685E">
              <w:t>$95,000</w:t>
            </w:r>
          </w:p>
        </w:tc>
      </w:tr>
      <w:tr w:rsidR="0007685E" w:rsidRPr="0007685E" w14:paraId="0AFF2D39"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1E4B6BC3" w14:textId="77777777" w:rsidR="0007685E" w:rsidRPr="0007685E" w:rsidRDefault="0007685E" w:rsidP="00E61F4E">
            <w:r w:rsidRPr="0007685E">
              <w:t>Prof</w:t>
            </w:r>
            <w:r>
              <w:t>.</w:t>
            </w:r>
            <w:r w:rsidRPr="0007685E">
              <w:t xml:space="preserve"> Org. &amp; Membership Fees</w:t>
            </w:r>
          </w:p>
        </w:tc>
        <w:tc>
          <w:tcPr>
            <w:tcW w:w="1413" w:type="dxa"/>
            <w:tcBorders>
              <w:top w:val="nil"/>
              <w:left w:val="nil"/>
              <w:bottom w:val="nil"/>
              <w:right w:val="single" w:sz="4" w:space="0" w:color="auto"/>
            </w:tcBorders>
            <w:shd w:val="clear" w:color="auto" w:fill="auto"/>
            <w:noWrap/>
            <w:vAlign w:val="bottom"/>
            <w:hideMark/>
          </w:tcPr>
          <w:p w14:paraId="4E71E936" w14:textId="77777777" w:rsidR="0007685E" w:rsidRPr="0007685E" w:rsidRDefault="0007685E" w:rsidP="00E61F4E">
            <w:r w:rsidRPr="0007685E">
              <w:t>$5,000</w:t>
            </w:r>
          </w:p>
        </w:tc>
        <w:tc>
          <w:tcPr>
            <w:tcW w:w="1413" w:type="dxa"/>
            <w:tcBorders>
              <w:top w:val="nil"/>
              <w:left w:val="nil"/>
              <w:bottom w:val="nil"/>
              <w:right w:val="single" w:sz="4" w:space="0" w:color="auto"/>
            </w:tcBorders>
            <w:shd w:val="clear" w:color="auto" w:fill="auto"/>
            <w:noWrap/>
            <w:vAlign w:val="bottom"/>
            <w:hideMark/>
          </w:tcPr>
          <w:p w14:paraId="030CA080" w14:textId="77777777" w:rsidR="0007685E" w:rsidRPr="0007685E" w:rsidRDefault="0007685E" w:rsidP="00E61F4E">
            <w:r w:rsidRPr="0007685E">
              <w:t>$5,000</w:t>
            </w:r>
          </w:p>
        </w:tc>
        <w:tc>
          <w:tcPr>
            <w:tcW w:w="1413" w:type="dxa"/>
            <w:tcBorders>
              <w:top w:val="nil"/>
              <w:left w:val="nil"/>
              <w:bottom w:val="nil"/>
              <w:right w:val="single" w:sz="4" w:space="0" w:color="auto"/>
            </w:tcBorders>
            <w:shd w:val="clear" w:color="auto" w:fill="auto"/>
            <w:noWrap/>
            <w:vAlign w:val="bottom"/>
            <w:hideMark/>
          </w:tcPr>
          <w:p w14:paraId="167606D9" w14:textId="77777777" w:rsidR="0007685E" w:rsidRPr="0007685E" w:rsidRDefault="0007685E" w:rsidP="00E61F4E">
            <w:r w:rsidRPr="0007685E">
              <w:t>$7,500</w:t>
            </w:r>
          </w:p>
        </w:tc>
        <w:tc>
          <w:tcPr>
            <w:tcW w:w="1413" w:type="dxa"/>
            <w:tcBorders>
              <w:top w:val="nil"/>
              <w:left w:val="nil"/>
              <w:bottom w:val="nil"/>
              <w:right w:val="single" w:sz="4" w:space="0" w:color="auto"/>
            </w:tcBorders>
            <w:shd w:val="clear" w:color="auto" w:fill="auto"/>
            <w:noWrap/>
            <w:vAlign w:val="bottom"/>
            <w:hideMark/>
          </w:tcPr>
          <w:p w14:paraId="48F17D17" w14:textId="77777777" w:rsidR="0007685E" w:rsidRPr="0007685E" w:rsidRDefault="0007685E" w:rsidP="00E61F4E">
            <w:r w:rsidRPr="0007685E">
              <w:t>$7,500</w:t>
            </w:r>
          </w:p>
        </w:tc>
        <w:tc>
          <w:tcPr>
            <w:tcW w:w="1413" w:type="dxa"/>
            <w:tcBorders>
              <w:top w:val="nil"/>
              <w:left w:val="nil"/>
              <w:bottom w:val="nil"/>
              <w:right w:val="single" w:sz="4" w:space="0" w:color="auto"/>
            </w:tcBorders>
            <w:shd w:val="clear" w:color="auto" w:fill="auto"/>
            <w:noWrap/>
            <w:vAlign w:val="bottom"/>
            <w:hideMark/>
          </w:tcPr>
          <w:p w14:paraId="7358A60E" w14:textId="77777777" w:rsidR="0007685E" w:rsidRPr="0007685E" w:rsidRDefault="0007685E" w:rsidP="00E61F4E">
            <w:r w:rsidRPr="0007685E">
              <w:t>$7,500</w:t>
            </w:r>
          </w:p>
        </w:tc>
        <w:tc>
          <w:tcPr>
            <w:tcW w:w="1546" w:type="dxa"/>
            <w:tcBorders>
              <w:top w:val="nil"/>
              <w:left w:val="nil"/>
              <w:bottom w:val="nil"/>
              <w:right w:val="single" w:sz="8" w:space="0" w:color="auto"/>
            </w:tcBorders>
            <w:shd w:val="clear" w:color="auto" w:fill="auto"/>
            <w:noWrap/>
            <w:vAlign w:val="bottom"/>
            <w:hideMark/>
          </w:tcPr>
          <w:p w14:paraId="2AE76AF6" w14:textId="77777777" w:rsidR="0007685E" w:rsidRPr="0007685E" w:rsidRDefault="0007685E" w:rsidP="00E61F4E">
            <w:r w:rsidRPr="0007685E">
              <w:t>$32,500</w:t>
            </w:r>
          </w:p>
        </w:tc>
      </w:tr>
      <w:tr w:rsidR="0007685E" w:rsidRPr="0007685E" w14:paraId="0D9BD9C1"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7A768C9D" w14:textId="77777777" w:rsidR="0007685E" w:rsidRPr="0007685E" w:rsidRDefault="0007685E" w:rsidP="00E61F4E">
            <w:r w:rsidRPr="0007685E">
              <w:t xml:space="preserve">IT Consultant </w:t>
            </w:r>
          </w:p>
        </w:tc>
        <w:tc>
          <w:tcPr>
            <w:tcW w:w="1413" w:type="dxa"/>
            <w:tcBorders>
              <w:top w:val="nil"/>
              <w:left w:val="nil"/>
              <w:bottom w:val="nil"/>
              <w:right w:val="single" w:sz="4" w:space="0" w:color="auto"/>
            </w:tcBorders>
            <w:shd w:val="clear" w:color="auto" w:fill="auto"/>
            <w:noWrap/>
            <w:vAlign w:val="bottom"/>
            <w:hideMark/>
          </w:tcPr>
          <w:p w14:paraId="30FD69FB" w14:textId="77777777" w:rsidR="0007685E" w:rsidRPr="0007685E" w:rsidRDefault="0007685E" w:rsidP="00E61F4E">
            <w:r w:rsidRPr="0007685E">
              <w:t>$15,200</w:t>
            </w:r>
          </w:p>
        </w:tc>
        <w:tc>
          <w:tcPr>
            <w:tcW w:w="1413" w:type="dxa"/>
            <w:tcBorders>
              <w:top w:val="nil"/>
              <w:left w:val="nil"/>
              <w:bottom w:val="nil"/>
              <w:right w:val="single" w:sz="4" w:space="0" w:color="auto"/>
            </w:tcBorders>
            <w:shd w:val="clear" w:color="auto" w:fill="auto"/>
            <w:noWrap/>
            <w:vAlign w:val="bottom"/>
            <w:hideMark/>
          </w:tcPr>
          <w:p w14:paraId="04D7A146" w14:textId="77777777" w:rsidR="0007685E" w:rsidRPr="0007685E" w:rsidRDefault="0007685E" w:rsidP="00E61F4E">
            <w:r w:rsidRPr="0007685E">
              <w:t>$15,200</w:t>
            </w:r>
          </w:p>
        </w:tc>
        <w:tc>
          <w:tcPr>
            <w:tcW w:w="1413" w:type="dxa"/>
            <w:tcBorders>
              <w:top w:val="nil"/>
              <w:left w:val="nil"/>
              <w:bottom w:val="nil"/>
              <w:right w:val="single" w:sz="4" w:space="0" w:color="auto"/>
            </w:tcBorders>
            <w:shd w:val="clear" w:color="auto" w:fill="auto"/>
            <w:noWrap/>
            <w:vAlign w:val="bottom"/>
            <w:hideMark/>
          </w:tcPr>
          <w:p w14:paraId="5F529ACC" w14:textId="77777777" w:rsidR="0007685E" w:rsidRPr="0007685E" w:rsidRDefault="0007685E" w:rsidP="00E61F4E">
            <w:r w:rsidRPr="0007685E">
              <w:t>$15,200</w:t>
            </w:r>
          </w:p>
        </w:tc>
        <w:tc>
          <w:tcPr>
            <w:tcW w:w="1413" w:type="dxa"/>
            <w:tcBorders>
              <w:top w:val="nil"/>
              <w:left w:val="nil"/>
              <w:bottom w:val="nil"/>
              <w:right w:val="single" w:sz="4" w:space="0" w:color="auto"/>
            </w:tcBorders>
            <w:shd w:val="clear" w:color="auto" w:fill="auto"/>
            <w:noWrap/>
            <w:vAlign w:val="bottom"/>
            <w:hideMark/>
          </w:tcPr>
          <w:p w14:paraId="7F096FED" w14:textId="77777777" w:rsidR="0007685E" w:rsidRPr="0007685E" w:rsidRDefault="0007685E" w:rsidP="00E61F4E">
            <w:r w:rsidRPr="0007685E">
              <w:t>$15,200</w:t>
            </w:r>
          </w:p>
        </w:tc>
        <w:tc>
          <w:tcPr>
            <w:tcW w:w="1413" w:type="dxa"/>
            <w:tcBorders>
              <w:top w:val="nil"/>
              <w:left w:val="nil"/>
              <w:bottom w:val="nil"/>
              <w:right w:val="single" w:sz="4" w:space="0" w:color="auto"/>
            </w:tcBorders>
            <w:shd w:val="clear" w:color="auto" w:fill="auto"/>
            <w:noWrap/>
            <w:vAlign w:val="bottom"/>
            <w:hideMark/>
          </w:tcPr>
          <w:p w14:paraId="2817E5EA" w14:textId="77777777" w:rsidR="0007685E" w:rsidRPr="0007685E" w:rsidRDefault="0007685E" w:rsidP="00E61F4E">
            <w:r w:rsidRPr="0007685E">
              <w:t>$15,200</w:t>
            </w:r>
          </w:p>
        </w:tc>
        <w:tc>
          <w:tcPr>
            <w:tcW w:w="1546" w:type="dxa"/>
            <w:tcBorders>
              <w:top w:val="nil"/>
              <w:left w:val="nil"/>
              <w:bottom w:val="nil"/>
              <w:right w:val="single" w:sz="8" w:space="0" w:color="auto"/>
            </w:tcBorders>
            <w:shd w:val="clear" w:color="auto" w:fill="auto"/>
            <w:noWrap/>
            <w:vAlign w:val="bottom"/>
            <w:hideMark/>
          </w:tcPr>
          <w:p w14:paraId="37DBFD94" w14:textId="77777777" w:rsidR="0007685E" w:rsidRPr="0007685E" w:rsidRDefault="0007685E" w:rsidP="00E61F4E">
            <w:r w:rsidRPr="0007685E">
              <w:t>$76,000</w:t>
            </w:r>
          </w:p>
        </w:tc>
      </w:tr>
      <w:tr w:rsidR="0007685E" w:rsidRPr="0007685E" w14:paraId="629B7F75"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2EFD836D" w14:textId="77777777" w:rsidR="0007685E" w:rsidRPr="0007685E" w:rsidRDefault="0007685E" w:rsidP="00E61F4E">
            <w:r w:rsidRPr="0007685E">
              <w:t>Misc. &amp; Other</w:t>
            </w:r>
          </w:p>
        </w:tc>
        <w:tc>
          <w:tcPr>
            <w:tcW w:w="1413" w:type="dxa"/>
            <w:tcBorders>
              <w:top w:val="nil"/>
              <w:left w:val="nil"/>
              <w:bottom w:val="nil"/>
              <w:right w:val="single" w:sz="4" w:space="0" w:color="auto"/>
            </w:tcBorders>
            <w:shd w:val="clear" w:color="auto" w:fill="auto"/>
            <w:noWrap/>
            <w:vAlign w:val="bottom"/>
            <w:hideMark/>
          </w:tcPr>
          <w:p w14:paraId="4EA7BCEC" w14:textId="77777777" w:rsidR="0007685E" w:rsidRPr="0007685E" w:rsidRDefault="0007685E" w:rsidP="00E61F4E">
            <w:r w:rsidRPr="0007685E">
              <w:t>$6,500</w:t>
            </w:r>
          </w:p>
        </w:tc>
        <w:tc>
          <w:tcPr>
            <w:tcW w:w="1413" w:type="dxa"/>
            <w:tcBorders>
              <w:top w:val="nil"/>
              <w:left w:val="nil"/>
              <w:bottom w:val="nil"/>
              <w:right w:val="single" w:sz="4" w:space="0" w:color="auto"/>
            </w:tcBorders>
            <w:shd w:val="clear" w:color="auto" w:fill="auto"/>
            <w:noWrap/>
            <w:vAlign w:val="bottom"/>
            <w:hideMark/>
          </w:tcPr>
          <w:p w14:paraId="140778C9" w14:textId="77777777" w:rsidR="0007685E" w:rsidRPr="0007685E" w:rsidRDefault="0007685E" w:rsidP="00E61F4E">
            <w:r w:rsidRPr="0007685E">
              <w:t>$7,900</w:t>
            </w:r>
          </w:p>
        </w:tc>
        <w:tc>
          <w:tcPr>
            <w:tcW w:w="1413" w:type="dxa"/>
            <w:tcBorders>
              <w:top w:val="nil"/>
              <w:left w:val="nil"/>
              <w:bottom w:val="nil"/>
              <w:right w:val="single" w:sz="4" w:space="0" w:color="auto"/>
            </w:tcBorders>
            <w:shd w:val="clear" w:color="auto" w:fill="auto"/>
            <w:noWrap/>
            <w:vAlign w:val="bottom"/>
            <w:hideMark/>
          </w:tcPr>
          <w:p w14:paraId="7DB182B2" w14:textId="77777777" w:rsidR="0007685E" w:rsidRPr="0007685E" w:rsidRDefault="0007685E" w:rsidP="00E61F4E">
            <w:r w:rsidRPr="0007685E">
              <w:t>$8,400</w:t>
            </w:r>
          </w:p>
        </w:tc>
        <w:tc>
          <w:tcPr>
            <w:tcW w:w="1413" w:type="dxa"/>
            <w:tcBorders>
              <w:top w:val="nil"/>
              <w:left w:val="nil"/>
              <w:bottom w:val="nil"/>
              <w:right w:val="single" w:sz="4" w:space="0" w:color="auto"/>
            </w:tcBorders>
            <w:shd w:val="clear" w:color="auto" w:fill="auto"/>
            <w:noWrap/>
            <w:vAlign w:val="bottom"/>
            <w:hideMark/>
          </w:tcPr>
          <w:p w14:paraId="1DEFD20A" w14:textId="77777777" w:rsidR="0007685E" w:rsidRPr="0007685E" w:rsidRDefault="0007685E" w:rsidP="00E61F4E">
            <w:r w:rsidRPr="0007685E">
              <w:t>$9,100</w:t>
            </w:r>
          </w:p>
        </w:tc>
        <w:tc>
          <w:tcPr>
            <w:tcW w:w="1413" w:type="dxa"/>
            <w:tcBorders>
              <w:top w:val="nil"/>
              <w:left w:val="nil"/>
              <w:bottom w:val="nil"/>
              <w:right w:val="single" w:sz="4" w:space="0" w:color="auto"/>
            </w:tcBorders>
            <w:shd w:val="clear" w:color="auto" w:fill="auto"/>
            <w:noWrap/>
            <w:vAlign w:val="bottom"/>
            <w:hideMark/>
          </w:tcPr>
          <w:p w14:paraId="1459885A" w14:textId="77777777" w:rsidR="0007685E" w:rsidRPr="0007685E" w:rsidRDefault="0007685E" w:rsidP="00E61F4E">
            <w:r w:rsidRPr="0007685E">
              <w:t>$9,900</w:t>
            </w:r>
          </w:p>
        </w:tc>
        <w:tc>
          <w:tcPr>
            <w:tcW w:w="1546" w:type="dxa"/>
            <w:tcBorders>
              <w:top w:val="nil"/>
              <w:left w:val="nil"/>
              <w:bottom w:val="nil"/>
              <w:right w:val="single" w:sz="8" w:space="0" w:color="auto"/>
            </w:tcBorders>
            <w:shd w:val="clear" w:color="auto" w:fill="auto"/>
            <w:noWrap/>
            <w:vAlign w:val="bottom"/>
            <w:hideMark/>
          </w:tcPr>
          <w:p w14:paraId="49D09972" w14:textId="77777777" w:rsidR="0007685E" w:rsidRPr="0007685E" w:rsidRDefault="0007685E" w:rsidP="00E61F4E">
            <w:r w:rsidRPr="0007685E">
              <w:t>$41,800</w:t>
            </w:r>
          </w:p>
        </w:tc>
      </w:tr>
      <w:tr w:rsidR="0007685E" w:rsidRPr="0007685E" w14:paraId="689EC418" w14:textId="77777777" w:rsidTr="005D100E">
        <w:trPr>
          <w:trHeight w:val="276"/>
        </w:trPr>
        <w:tc>
          <w:tcPr>
            <w:tcW w:w="3029" w:type="dxa"/>
            <w:tcBorders>
              <w:top w:val="nil"/>
              <w:left w:val="single" w:sz="8" w:space="0" w:color="auto"/>
              <w:bottom w:val="nil"/>
              <w:right w:val="single" w:sz="4" w:space="0" w:color="auto"/>
            </w:tcBorders>
            <w:shd w:val="clear" w:color="000000" w:fill="E7E6E6"/>
            <w:noWrap/>
            <w:vAlign w:val="bottom"/>
            <w:hideMark/>
          </w:tcPr>
          <w:p w14:paraId="02758B91" w14:textId="77777777" w:rsidR="0007685E" w:rsidRPr="0007685E" w:rsidRDefault="0007685E" w:rsidP="00E61F4E">
            <w:r w:rsidRPr="0007685E">
              <w:t>Total Expenses</w:t>
            </w:r>
          </w:p>
        </w:tc>
        <w:tc>
          <w:tcPr>
            <w:tcW w:w="1413" w:type="dxa"/>
            <w:tcBorders>
              <w:top w:val="nil"/>
              <w:left w:val="nil"/>
              <w:bottom w:val="nil"/>
              <w:right w:val="single" w:sz="4" w:space="0" w:color="auto"/>
            </w:tcBorders>
            <w:shd w:val="clear" w:color="000000" w:fill="E7E6E6"/>
            <w:noWrap/>
            <w:vAlign w:val="bottom"/>
            <w:hideMark/>
          </w:tcPr>
          <w:p w14:paraId="7277E7E7" w14:textId="77777777" w:rsidR="0007685E" w:rsidRPr="0007685E" w:rsidRDefault="0007685E" w:rsidP="00E61F4E">
            <w:r w:rsidRPr="0007685E">
              <w:t>$1,072,000</w:t>
            </w:r>
          </w:p>
        </w:tc>
        <w:tc>
          <w:tcPr>
            <w:tcW w:w="1413" w:type="dxa"/>
            <w:tcBorders>
              <w:top w:val="nil"/>
              <w:left w:val="nil"/>
              <w:bottom w:val="nil"/>
              <w:right w:val="single" w:sz="4" w:space="0" w:color="auto"/>
            </w:tcBorders>
            <w:shd w:val="clear" w:color="000000" w:fill="E7E6E6"/>
            <w:noWrap/>
            <w:vAlign w:val="bottom"/>
            <w:hideMark/>
          </w:tcPr>
          <w:p w14:paraId="7D088BE4" w14:textId="77777777" w:rsidR="0007685E" w:rsidRPr="0007685E" w:rsidRDefault="0007685E" w:rsidP="00E61F4E">
            <w:r w:rsidRPr="0007685E">
              <w:t>$1,866,559</w:t>
            </w:r>
          </w:p>
        </w:tc>
        <w:tc>
          <w:tcPr>
            <w:tcW w:w="1413" w:type="dxa"/>
            <w:tcBorders>
              <w:top w:val="nil"/>
              <w:left w:val="nil"/>
              <w:bottom w:val="nil"/>
              <w:right w:val="single" w:sz="4" w:space="0" w:color="auto"/>
            </w:tcBorders>
            <w:shd w:val="clear" w:color="000000" w:fill="E7E6E6"/>
            <w:noWrap/>
            <w:vAlign w:val="bottom"/>
            <w:hideMark/>
          </w:tcPr>
          <w:p w14:paraId="4BEBAE3A" w14:textId="77777777" w:rsidR="0007685E" w:rsidRPr="0007685E" w:rsidRDefault="0007685E" w:rsidP="00E61F4E">
            <w:r w:rsidRPr="0007685E">
              <w:t>$2,256,513</w:t>
            </w:r>
          </w:p>
        </w:tc>
        <w:tc>
          <w:tcPr>
            <w:tcW w:w="1413" w:type="dxa"/>
            <w:tcBorders>
              <w:top w:val="nil"/>
              <w:left w:val="nil"/>
              <w:bottom w:val="nil"/>
              <w:right w:val="single" w:sz="4" w:space="0" w:color="auto"/>
            </w:tcBorders>
            <w:shd w:val="clear" w:color="000000" w:fill="E7E6E6"/>
            <w:noWrap/>
            <w:vAlign w:val="bottom"/>
            <w:hideMark/>
          </w:tcPr>
          <w:p w14:paraId="2B87BF6A" w14:textId="77777777" w:rsidR="0007685E" w:rsidRPr="0007685E" w:rsidRDefault="0007685E" w:rsidP="00E61F4E">
            <w:r w:rsidRPr="0007685E">
              <w:t>$2,367,225</w:t>
            </w:r>
          </w:p>
        </w:tc>
        <w:tc>
          <w:tcPr>
            <w:tcW w:w="1413" w:type="dxa"/>
            <w:tcBorders>
              <w:top w:val="nil"/>
              <w:left w:val="nil"/>
              <w:bottom w:val="nil"/>
              <w:right w:val="single" w:sz="4" w:space="0" w:color="auto"/>
            </w:tcBorders>
            <w:shd w:val="clear" w:color="000000" w:fill="E7E6E6"/>
            <w:noWrap/>
            <w:vAlign w:val="bottom"/>
            <w:hideMark/>
          </w:tcPr>
          <w:p w14:paraId="11C6FEE8" w14:textId="77777777" w:rsidR="0007685E" w:rsidRPr="0007685E" w:rsidRDefault="0007685E" w:rsidP="00E61F4E">
            <w:r w:rsidRPr="0007685E">
              <w:t>$2,424,613</w:t>
            </w:r>
          </w:p>
        </w:tc>
        <w:tc>
          <w:tcPr>
            <w:tcW w:w="1546" w:type="dxa"/>
            <w:tcBorders>
              <w:top w:val="nil"/>
              <w:left w:val="nil"/>
              <w:bottom w:val="nil"/>
              <w:right w:val="single" w:sz="8" w:space="0" w:color="auto"/>
            </w:tcBorders>
            <w:shd w:val="clear" w:color="000000" w:fill="E7E6E6"/>
            <w:noWrap/>
            <w:vAlign w:val="bottom"/>
            <w:hideMark/>
          </w:tcPr>
          <w:p w14:paraId="1A2DC301" w14:textId="77777777" w:rsidR="0007685E" w:rsidRPr="0007685E" w:rsidRDefault="0007685E" w:rsidP="00E61F4E">
            <w:r w:rsidRPr="0007685E">
              <w:t>$9,986,910</w:t>
            </w:r>
          </w:p>
        </w:tc>
      </w:tr>
      <w:tr w:rsidR="0007685E" w:rsidRPr="0007685E" w14:paraId="537F580E"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2DD5B88B" w14:textId="77777777" w:rsidR="0007685E" w:rsidRPr="0007685E" w:rsidRDefault="0007685E" w:rsidP="00E61F4E">
            <w:r w:rsidRPr="0007685E">
              <w:t>Profit/Loss</w:t>
            </w:r>
          </w:p>
        </w:tc>
        <w:tc>
          <w:tcPr>
            <w:tcW w:w="1413" w:type="dxa"/>
            <w:tcBorders>
              <w:top w:val="nil"/>
              <w:left w:val="nil"/>
              <w:bottom w:val="nil"/>
              <w:right w:val="single" w:sz="4" w:space="0" w:color="auto"/>
            </w:tcBorders>
            <w:shd w:val="clear" w:color="auto" w:fill="auto"/>
            <w:noWrap/>
            <w:vAlign w:val="bottom"/>
            <w:hideMark/>
          </w:tcPr>
          <w:p w14:paraId="7B156E94" w14:textId="77777777" w:rsidR="0007685E" w:rsidRPr="0007685E" w:rsidRDefault="0007685E" w:rsidP="00E61F4E">
            <w:r w:rsidRPr="0007685E">
              <w:t>$238,300</w:t>
            </w:r>
          </w:p>
        </w:tc>
        <w:tc>
          <w:tcPr>
            <w:tcW w:w="1413" w:type="dxa"/>
            <w:tcBorders>
              <w:top w:val="nil"/>
              <w:left w:val="nil"/>
              <w:bottom w:val="nil"/>
              <w:right w:val="single" w:sz="4" w:space="0" w:color="auto"/>
            </w:tcBorders>
            <w:shd w:val="clear" w:color="auto" w:fill="auto"/>
            <w:noWrap/>
            <w:vAlign w:val="bottom"/>
            <w:hideMark/>
          </w:tcPr>
          <w:p w14:paraId="00402BEA" w14:textId="77777777" w:rsidR="0007685E" w:rsidRPr="0007685E" w:rsidRDefault="0007685E" w:rsidP="00E61F4E">
            <w:r w:rsidRPr="0007685E">
              <w:t>$103,400</w:t>
            </w:r>
          </w:p>
        </w:tc>
        <w:tc>
          <w:tcPr>
            <w:tcW w:w="1413" w:type="dxa"/>
            <w:tcBorders>
              <w:top w:val="nil"/>
              <w:left w:val="nil"/>
              <w:bottom w:val="nil"/>
              <w:right w:val="single" w:sz="4" w:space="0" w:color="auto"/>
            </w:tcBorders>
            <w:shd w:val="clear" w:color="auto" w:fill="auto"/>
            <w:noWrap/>
            <w:vAlign w:val="bottom"/>
            <w:hideMark/>
          </w:tcPr>
          <w:p w14:paraId="38E16522" w14:textId="77777777" w:rsidR="0007685E" w:rsidRPr="0007685E" w:rsidRDefault="0007685E" w:rsidP="00E61F4E">
            <w:r w:rsidRPr="0007685E">
              <w:t>$95,900</w:t>
            </w:r>
          </w:p>
        </w:tc>
        <w:tc>
          <w:tcPr>
            <w:tcW w:w="1413" w:type="dxa"/>
            <w:tcBorders>
              <w:top w:val="nil"/>
              <w:left w:val="nil"/>
              <w:bottom w:val="nil"/>
              <w:right w:val="single" w:sz="4" w:space="0" w:color="auto"/>
            </w:tcBorders>
            <w:shd w:val="clear" w:color="auto" w:fill="auto"/>
            <w:noWrap/>
            <w:vAlign w:val="bottom"/>
            <w:hideMark/>
          </w:tcPr>
          <w:p w14:paraId="39F19AE0" w14:textId="77777777" w:rsidR="0007685E" w:rsidRPr="0007685E" w:rsidRDefault="0007685E" w:rsidP="00E61F4E">
            <w:r w:rsidRPr="0007685E">
              <w:t>$48,200</w:t>
            </w:r>
          </w:p>
        </w:tc>
        <w:tc>
          <w:tcPr>
            <w:tcW w:w="1413" w:type="dxa"/>
            <w:tcBorders>
              <w:top w:val="nil"/>
              <w:left w:val="nil"/>
              <w:bottom w:val="nil"/>
              <w:right w:val="single" w:sz="4" w:space="0" w:color="auto"/>
            </w:tcBorders>
            <w:shd w:val="clear" w:color="auto" w:fill="auto"/>
            <w:noWrap/>
            <w:vAlign w:val="bottom"/>
            <w:hideMark/>
          </w:tcPr>
          <w:p w14:paraId="04CF5D38" w14:textId="77777777" w:rsidR="0007685E" w:rsidRPr="0007685E" w:rsidRDefault="0007685E" w:rsidP="00E61F4E">
            <w:r w:rsidRPr="0007685E">
              <w:t>$49,900</w:t>
            </w:r>
          </w:p>
        </w:tc>
        <w:tc>
          <w:tcPr>
            <w:tcW w:w="1546" w:type="dxa"/>
            <w:tcBorders>
              <w:top w:val="nil"/>
              <w:left w:val="nil"/>
              <w:bottom w:val="nil"/>
              <w:right w:val="single" w:sz="8" w:space="0" w:color="auto"/>
            </w:tcBorders>
            <w:shd w:val="clear" w:color="auto" w:fill="auto"/>
            <w:noWrap/>
            <w:vAlign w:val="bottom"/>
            <w:hideMark/>
          </w:tcPr>
          <w:p w14:paraId="2237D8A8" w14:textId="77777777" w:rsidR="0007685E" w:rsidRPr="0007685E" w:rsidRDefault="0007685E" w:rsidP="00E61F4E">
            <w:r w:rsidRPr="0007685E">
              <w:t>.</w:t>
            </w:r>
          </w:p>
        </w:tc>
      </w:tr>
      <w:tr w:rsidR="0007685E" w:rsidRPr="0007685E" w14:paraId="58200BAC"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576205AC" w14:textId="77777777" w:rsidR="0007685E" w:rsidRPr="0007685E" w:rsidRDefault="0007685E" w:rsidP="00E61F4E">
            <w:r w:rsidRPr="0007685E">
              <w:t>Reserve Funds/Carry-Forward</w:t>
            </w:r>
          </w:p>
        </w:tc>
        <w:tc>
          <w:tcPr>
            <w:tcW w:w="1413" w:type="dxa"/>
            <w:tcBorders>
              <w:top w:val="nil"/>
              <w:left w:val="nil"/>
              <w:bottom w:val="nil"/>
              <w:right w:val="single" w:sz="4" w:space="0" w:color="auto"/>
            </w:tcBorders>
            <w:shd w:val="clear" w:color="auto" w:fill="auto"/>
            <w:noWrap/>
            <w:vAlign w:val="bottom"/>
            <w:hideMark/>
          </w:tcPr>
          <w:p w14:paraId="66808999" w14:textId="77777777" w:rsidR="0007685E" w:rsidRPr="0007685E" w:rsidRDefault="0007685E" w:rsidP="00E61F4E">
            <w:r w:rsidRPr="0007685E">
              <w:t>.</w:t>
            </w:r>
          </w:p>
        </w:tc>
        <w:tc>
          <w:tcPr>
            <w:tcW w:w="1413" w:type="dxa"/>
            <w:tcBorders>
              <w:top w:val="nil"/>
              <w:left w:val="nil"/>
              <w:bottom w:val="nil"/>
              <w:right w:val="single" w:sz="4" w:space="0" w:color="auto"/>
            </w:tcBorders>
            <w:shd w:val="clear" w:color="auto" w:fill="auto"/>
            <w:noWrap/>
            <w:vAlign w:val="bottom"/>
            <w:hideMark/>
          </w:tcPr>
          <w:p w14:paraId="6C2BA4EC" w14:textId="77777777" w:rsidR="0007685E" w:rsidRPr="0007685E" w:rsidRDefault="0007685E" w:rsidP="00E61F4E">
            <w:r w:rsidRPr="0007685E">
              <w:t>$253,500</w:t>
            </w:r>
          </w:p>
        </w:tc>
        <w:tc>
          <w:tcPr>
            <w:tcW w:w="1413" w:type="dxa"/>
            <w:tcBorders>
              <w:top w:val="nil"/>
              <w:left w:val="nil"/>
              <w:bottom w:val="nil"/>
              <w:right w:val="single" w:sz="4" w:space="0" w:color="auto"/>
            </w:tcBorders>
            <w:shd w:val="clear" w:color="auto" w:fill="auto"/>
            <w:noWrap/>
            <w:vAlign w:val="bottom"/>
            <w:hideMark/>
          </w:tcPr>
          <w:p w14:paraId="6162D29D" w14:textId="77777777" w:rsidR="0007685E" w:rsidRPr="0007685E" w:rsidRDefault="0007685E" w:rsidP="00E61F4E">
            <w:r w:rsidRPr="0007685E">
              <w:t>$347,100</w:t>
            </w:r>
          </w:p>
        </w:tc>
        <w:tc>
          <w:tcPr>
            <w:tcW w:w="1413" w:type="dxa"/>
            <w:tcBorders>
              <w:top w:val="nil"/>
              <w:left w:val="nil"/>
              <w:bottom w:val="nil"/>
              <w:right w:val="single" w:sz="4" w:space="0" w:color="auto"/>
            </w:tcBorders>
            <w:shd w:val="clear" w:color="auto" w:fill="auto"/>
            <w:noWrap/>
            <w:vAlign w:val="bottom"/>
            <w:hideMark/>
          </w:tcPr>
          <w:p w14:paraId="2736CBFF" w14:textId="77777777" w:rsidR="0007685E" w:rsidRPr="0007685E" w:rsidRDefault="0007685E" w:rsidP="00E61F4E">
            <w:r w:rsidRPr="0007685E">
              <w:t>$433,200</w:t>
            </w:r>
          </w:p>
        </w:tc>
        <w:tc>
          <w:tcPr>
            <w:tcW w:w="1413" w:type="dxa"/>
            <w:tcBorders>
              <w:top w:val="nil"/>
              <w:left w:val="nil"/>
              <w:bottom w:val="nil"/>
              <w:right w:val="single" w:sz="4" w:space="0" w:color="auto"/>
            </w:tcBorders>
            <w:shd w:val="clear" w:color="auto" w:fill="auto"/>
            <w:noWrap/>
            <w:vAlign w:val="bottom"/>
            <w:hideMark/>
          </w:tcPr>
          <w:p w14:paraId="7C3CABE2" w14:textId="77777777" w:rsidR="0007685E" w:rsidRPr="0007685E" w:rsidRDefault="0007685E" w:rsidP="00E61F4E">
            <w:r w:rsidRPr="0007685E">
              <w:t>$466,600</w:t>
            </w:r>
          </w:p>
        </w:tc>
        <w:tc>
          <w:tcPr>
            <w:tcW w:w="1546" w:type="dxa"/>
            <w:tcBorders>
              <w:top w:val="nil"/>
              <w:left w:val="nil"/>
              <w:bottom w:val="nil"/>
              <w:right w:val="single" w:sz="8" w:space="0" w:color="auto"/>
            </w:tcBorders>
            <w:shd w:val="clear" w:color="auto" w:fill="auto"/>
            <w:noWrap/>
            <w:vAlign w:val="bottom"/>
            <w:hideMark/>
          </w:tcPr>
          <w:p w14:paraId="3E9AEA6C" w14:textId="77777777" w:rsidR="0007685E" w:rsidRPr="0007685E" w:rsidRDefault="0007685E" w:rsidP="00E61F4E">
            <w:r w:rsidRPr="0007685E">
              <w:t>.</w:t>
            </w:r>
          </w:p>
        </w:tc>
      </w:tr>
      <w:tr w:rsidR="0007685E" w:rsidRPr="0007685E" w14:paraId="4D0BF1C1"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606CA88A" w14:textId="77777777" w:rsidR="0007685E" w:rsidRPr="0007685E" w:rsidRDefault="0007685E" w:rsidP="00E61F4E">
            <w:r w:rsidRPr="0007685E">
              <w:t>Total of Cash After Expenses</w:t>
            </w:r>
          </w:p>
        </w:tc>
        <w:tc>
          <w:tcPr>
            <w:tcW w:w="1413" w:type="dxa"/>
            <w:tcBorders>
              <w:top w:val="nil"/>
              <w:left w:val="nil"/>
              <w:bottom w:val="nil"/>
              <w:right w:val="single" w:sz="4" w:space="0" w:color="auto"/>
            </w:tcBorders>
            <w:shd w:val="clear" w:color="auto" w:fill="auto"/>
            <w:noWrap/>
            <w:vAlign w:val="bottom"/>
            <w:hideMark/>
          </w:tcPr>
          <w:p w14:paraId="438A94EB" w14:textId="77777777" w:rsidR="0007685E" w:rsidRPr="0007685E" w:rsidRDefault="0007685E" w:rsidP="00E61F4E">
            <w:r w:rsidRPr="0007685E">
              <w:t>$238,300</w:t>
            </w:r>
          </w:p>
        </w:tc>
        <w:tc>
          <w:tcPr>
            <w:tcW w:w="1413" w:type="dxa"/>
            <w:tcBorders>
              <w:top w:val="nil"/>
              <w:left w:val="nil"/>
              <w:bottom w:val="nil"/>
              <w:right w:val="single" w:sz="4" w:space="0" w:color="auto"/>
            </w:tcBorders>
            <w:shd w:val="clear" w:color="auto" w:fill="auto"/>
            <w:noWrap/>
            <w:vAlign w:val="bottom"/>
            <w:hideMark/>
          </w:tcPr>
          <w:p w14:paraId="367FCC98" w14:textId="77777777" w:rsidR="0007685E" w:rsidRPr="0007685E" w:rsidRDefault="0007685E" w:rsidP="00E61F4E">
            <w:r w:rsidRPr="0007685E">
              <w:t>$356,900</w:t>
            </w:r>
          </w:p>
        </w:tc>
        <w:tc>
          <w:tcPr>
            <w:tcW w:w="1413" w:type="dxa"/>
            <w:tcBorders>
              <w:top w:val="nil"/>
              <w:left w:val="nil"/>
              <w:bottom w:val="nil"/>
              <w:right w:val="single" w:sz="4" w:space="0" w:color="auto"/>
            </w:tcBorders>
            <w:shd w:val="clear" w:color="auto" w:fill="auto"/>
            <w:noWrap/>
            <w:vAlign w:val="bottom"/>
            <w:hideMark/>
          </w:tcPr>
          <w:p w14:paraId="5FD8B929" w14:textId="77777777" w:rsidR="0007685E" w:rsidRPr="0007685E" w:rsidRDefault="0007685E" w:rsidP="00E61F4E">
            <w:r w:rsidRPr="0007685E">
              <w:t>$443,000</w:t>
            </w:r>
          </w:p>
        </w:tc>
        <w:tc>
          <w:tcPr>
            <w:tcW w:w="1413" w:type="dxa"/>
            <w:tcBorders>
              <w:top w:val="nil"/>
              <w:left w:val="nil"/>
              <w:bottom w:val="nil"/>
              <w:right w:val="single" w:sz="4" w:space="0" w:color="auto"/>
            </w:tcBorders>
            <w:shd w:val="clear" w:color="auto" w:fill="auto"/>
            <w:noWrap/>
            <w:vAlign w:val="bottom"/>
            <w:hideMark/>
          </w:tcPr>
          <w:p w14:paraId="184440D9" w14:textId="77777777" w:rsidR="0007685E" w:rsidRPr="0007685E" w:rsidRDefault="0007685E" w:rsidP="00E61F4E">
            <w:r w:rsidRPr="0007685E">
              <w:t>$481,400</w:t>
            </w:r>
          </w:p>
        </w:tc>
        <w:tc>
          <w:tcPr>
            <w:tcW w:w="1413" w:type="dxa"/>
            <w:tcBorders>
              <w:top w:val="nil"/>
              <w:left w:val="nil"/>
              <w:bottom w:val="nil"/>
              <w:right w:val="single" w:sz="4" w:space="0" w:color="auto"/>
            </w:tcBorders>
            <w:shd w:val="clear" w:color="auto" w:fill="auto"/>
            <w:noWrap/>
            <w:vAlign w:val="bottom"/>
            <w:hideMark/>
          </w:tcPr>
          <w:p w14:paraId="0D788E57" w14:textId="77777777" w:rsidR="0007685E" w:rsidRPr="0007685E" w:rsidRDefault="0007685E" w:rsidP="00E61F4E">
            <w:r w:rsidRPr="0007685E">
              <w:t>$516,500</w:t>
            </w:r>
          </w:p>
        </w:tc>
        <w:tc>
          <w:tcPr>
            <w:tcW w:w="1546" w:type="dxa"/>
            <w:tcBorders>
              <w:top w:val="nil"/>
              <w:left w:val="nil"/>
              <w:bottom w:val="nil"/>
              <w:right w:val="single" w:sz="8" w:space="0" w:color="auto"/>
            </w:tcBorders>
            <w:shd w:val="clear" w:color="auto" w:fill="auto"/>
            <w:noWrap/>
            <w:vAlign w:val="bottom"/>
            <w:hideMark/>
          </w:tcPr>
          <w:p w14:paraId="64F95A59" w14:textId="77777777" w:rsidR="0007685E" w:rsidRPr="0007685E" w:rsidRDefault="0007685E" w:rsidP="00E61F4E">
            <w:r w:rsidRPr="0007685E">
              <w:t>.</w:t>
            </w:r>
          </w:p>
        </w:tc>
      </w:tr>
      <w:tr w:rsidR="0007685E" w:rsidRPr="0007685E" w14:paraId="2A1FD80C" w14:textId="77777777" w:rsidTr="005D100E">
        <w:trPr>
          <w:trHeight w:val="276"/>
        </w:trPr>
        <w:tc>
          <w:tcPr>
            <w:tcW w:w="3029" w:type="dxa"/>
            <w:tcBorders>
              <w:top w:val="nil"/>
              <w:left w:val="single" w:sz="8" w:space="0" w:color="auto"/>
              <w:bottom w:val="nil"/>
              <w:right w:val="single" w:sz="4" w:space="0" w:color="auto"/>
            </w:tcBorders>
            <w:shd w:val="clear" w:color="auto" w:fill="auto"/>
            <w:noWrap/>
            <w:vAlign w:val="bottom"/>
            <w:hideMark/>
          </w:tcPr>
          <w:p w14:paraId="5E4668C1" w14:textId="77777777" w:rsidR="0007685E" w:rsidRPr="0007685E" w:rsidRDefault="0007685E" w:rsidP="00E61F4E">
            <w:r w:rsidRPr="0007685E">
              <w:t>In-Kind Support</w:t>
            </w:r>
          </w:p>
        </w:tc>
        <w:tc>
          <w:tcPr>
            <w:tcW w:w="1413" w:type="dxa"/>
            <w:tcBorders>
              <w:top w:val="nil"/>
              <w:left w:val="nil"/>
              <w:bottom w:val="nil"/>
              <w:right w:val="single" w:sz="4" w:space="0" w:color="auto"/>
            </w:tcBorders>
            <w:shd w:val="clear" w:color="auto" w:fill="auto"/>
            <w:noWrap/>
            <w:vAlign w:val="bottom"/>
            <w:hideMark/>
          </w:tcPr>
          <w:p w14:paraId="4E2DA6AE" w14:textId="77777777" w:rsidR="0007685E" w:rsidRPr="0007685E" w:rsidRDefault="0007685E" w:rsidP="00E61F4E">
            <w:r w:rsidRPr="0007685E">
              <w:t>$0</w:t>
            </w:r>
          </w:p>
        </w:tc>
        <w:tc>
          <w:tcPr>
            <w:tcW w:w="1413" w:type="dxa"/>
            <w:tcBorders>
              <w:top w:val="nil"/>
              <w:left w:val="nil"/>
              <w:bottom w:val="nil"/>
              <w:right w:val="single" w:sz="4" w:space="0" w:color="auto"/>
            </w:tcBorders>
            <w:shd w:val="clear" w:color="auto" w:fill="auto"/>
            <w:noWrap/>
            <w:vAlign w:val="bottom"/>
            <w:hideMark/>
          </w:tcPr>
          <w:p w14:paraId="486030A2" w14:textId="77777777" w:rsidR="0007685E" w:rsidRPr="0007685E" w:rsidRDefault="0007685E" w:rsidP="00E61F4E">
            <w:r w:rsidRPr="0007685E">
              <w:t>$0</w:t>
            </w:r>
          </w:p>
        </w:tc>
        <w:tc>
          <w:tcPr>
            <w:tcW w:w="1413" w:type="dxa"/>
            <w:tcBorders>
              <w:top w:val="nil"/>
              <w:left w:val="nil"/>
              <w:bottom w:val="nil"/>
              <w:right w:val="single" w:sz="4" w:space="0" w:color="auto"/>
            </w:tcBorders>
            <w:shd w:val="clear" w:color="auto" w:fill="auto"/>
            <w:noWrap/>
            <w:vAlign w:val="bottom"/>
            <w:hideMark/>
          </w:tcPr>
          <w:p w14:paraId="2D36A55F" w14:textId="77777777" w:rsidR="0007685E" w:rsidRPr="0007685E" w:rsidRDefault="0007685E" w:rsidP="00E61F4E">
            <w:r w:rsidRPr="0007685E">
              <w:t>$0</w:t>
            </w:r>
          </w:p>
        </w:tc>
        <w:tc>
          <w:tcPr>
            <w:tcW w:w="1413" w:type="dxa"/>
            <w:tcBorders>
              <w:top w:val="nil"/>
              <w:left w:val="nil"/>
              <w:bottom w:val="nil"/>
              <w:right w:val="single" w:sz="4" w:space="0" w:color="auto"/>
            </w:tcBorders>
            <w:shd w:val="clear" w:color="auto" w:fill="auto"/>
            <w:noWrap/>
            <w:vAlign w:val="bottom"/>
            <w:hideMark/>
          </w:tcPr>
          <w:p w14:paraId="24730448" w14:textId="77777777" w:rsidR="0007685E" w:rsidRPr="0007685E" w:rsidRDefault="0007685E" w:rsidP="00E61F4E">
            <w:r w:rsidRPr="0007685E">
              <w:t>$0</w:t>
            </w:r>
          </w:p>
        </w:tc>
        <w:tc>
          <w:tcPr>
            <w:tcW w:w="1413" w:type="dxa"/>
            <w:tcBorders>
              <w:top w:val="nil"/>
              <w:left w:val="nil"/>
              <w:bottom w:val="nil"/>
              <w:right w:val="single" w:sz="4" w:space="0" w:color="auto"/>
            </w:tcBorders>
            <w:shd w:val="clear" w:color="auto" w:fill="auto"/>
            <w:noWrap/>
            <w:vAlign w:val="bottom"/>
            <w:hideMark/>
          </w:tcPr>
          <w:p w14:paraId="6B77FEAB" w14:textId="77777777" w:rsidR="0007685E" w:rsidRPr="0007685E" w:rsidRDefault="0007685E" w:rsidP="00E61F4E">
            <w:r w:rsidRPr="0007685E">
              <w:t>$0</w:t>
            </w:r>
          </w:p>
        </w:tc>
        <w:tc>
          <w:tcPr>
            <w:tcW w:w="1546" w:type="dxa"/>
            <w:tcBorders>
              <w:top w:val="nil"/>
              <w:left w:val="nil"/>
              <w:bottom w:val="nil"/>
              <w:right w:val="single" w:sz="8" w:space="0" w:color="auto"/>
            </w:tcBorders>
            <w:shd w:val="clear" w:color="auto" w:fill="auto"/>
            <w:noWrap/>
            <w:vAlign w:val="bottom"/>
            <w:hideMark/>
          </w:tcPr>
          <w:p w14:paraId="7571CF05" w14:textId="77777777" w:rsidR="0007685E" w:rsidRPr="0007685E" w:rsidRDefault="0007685E" w:rsidP="00E61F4E">
            <w:r w:rsidRPr="0007685E">
              <w:t>.</w:t>
            </w:r>
          </w:p>
        </w:tc>
      </w:tr>
      <w:tr w:rsidR="0007685E" w:rsidRPr="0007685E" w14:paraId="6FA1A208" w14:textId="77777777" w:rsidTr="005D100E">
        <w:trPr>
          <w:trHeight w:val="288"/>
        </w:trPr>
        <w:tc>
          <w:tcPr>
            <w:tcW w:w="3029" w:type="dxa"/>
            <w:tcBorders>
              <w:top w:val="nil"/>
              <w:left w:val="single" w:sz="8" w:space="0" w:color="auto"/>
              <w:bottom w:val="single" w:sz="8" w:space="0" w:color="auto"/>
              <w:right w:val="single" w:sz="4" w:space="0" w:color="auto"/>
            </w:tcBorders>
            <w:shd w:val="clear" w:color="000000" w:fill="E7E6E6"/>
            <w:noWrap/>
            <w:vAlign w:val="bottom"/>
            <w:hideMark/>
          </w:tcPr>
          <w:p w14:paraId="22B0071F" w14:textId="77777777" w:rsidR="0007685E" w:rsidRPr="0007685E" w:rsidRDefault="0007685E" w:rsidP="00E61F4E">
            <w:r w:rsidRPr="0007685E">
              <w:t>Grand Total</w:t>
            </w:r>
          </w:p>
        </w:tc>
        <w:tc>
          <w:tcPr>
            <w:tcW w:w="1413" w:type="dxa"/>
            <w:tcBorders>
              <w:top w:val="nil"/>
              <w:left w:val="nil"/>
              <w:bottom w:val="single" w:sz="8" w:space="0" w:color="auto"/>
              <w:right w:val="single" w:sz="4" w:space="0" w:color="auto"/>
            </w:tcBorders>
            <w:shd w:val="clear" w:color="000000" w:fill="E7E6E6"/>
            <w:noWrap/>
            <w:vAlign w:val="bottom"/>
            <w:hideMark/>
          </w:tcPr>
          <w:p w14:paraId="560E0408" w14:textId="77777777" w:rsidR="0007685E" w:rsidRPr="0007685E" w:rsidRDefault="0007685E" w:rsidP="00E61F4E">
            <w:r w:rsidRPr="0007685E">
              <w:t>$238,300</w:t>
            </w:r>
          </w:p>
        </w:tc>
        <w:tc>
          <w:tcPr>
            <w:tcW w:w="1413" w:type="dxa"/>
            <w:tcBorders>
              <w:top w:val="nil"/>
              <w:left w:val="nil"/>
              <w:bottom w:val="single" w:sz="8" w:space="0" w:color="auto"/>
              <w:right w:val="single" w:sz="4" w:space="0" w:color="auto"/>
            </w:tcBorders>
            <w:shd w:val="clear" w:color="000000" w:fill="E7E6E6"/>
            <w:noWrap/>
            <w:vAlign w:val="bottom"/>
            <w:hideMark/>
          </w:tcPr>
          <w:p w14:paraId="72BD8397" w14:textId="77777777" w:rsidR="0007685E" w:rsidRPr="0007685E" w:rsidRDefault="0007685E" w:rsidP="00E61F4E">
            <w:r w:rsidRPr="0007685E">
              <w:t>$356,900</w:t>
            </w:r>
          </w:p>
        </w:tc>
        <w:tc>
          <w:tcPr>
            <w:tcW w:w="1413" w:type="dxa"/>
            <w:tcBorders>
              <w:top w:val="nil"/>
              <w:left w:val="nil"/>
              <w:bottom w:val="single" w:sz="8" w:space="0" w:color="auto"/>
              <w:right w:val="single" w:sz="4" w:space="0" w:color="auto"/>
            </w:tcBorders>
            <w:shd w:val="clear" w:color="000000" w:fill="E7E6E6"/>
            <w:noWrap/>
            <w:vAlign w:val="bottom"/>
            <w:hideMark/>
          </w:tcPr>
          <w:p w14:paraId="6B6E2C24" w14:textId="77777777" w:rsidR="0007685E" w:rsidRPr="0007685E" w:rsidRDefault="0007685E" w:rsidP="00E61F4E">
            <w:r w:rsidRPr="0007685E">
              <w:t>$443,000</w:t>
            </w:r>
          </w:p>
        </w:tc>
        <w:tc>
          <w:tcPr>
            <w:tcW w:w="1413" w:type="dxa"/>
            <w:tcBorders>
              <w:top w:val="nil"/>
              <w:left w:val="nil"/>
              <w:bottom w:val="single" w:sz="8" w:space="0" w:color="auto"/>
              <w:right w:val="single" w:sz="4" w:space="0" w:color="auto"/>
            </w:tcBorders>
            <w:shd w:val="clear" w:color="000000" w:fill="E7E6E6"/>
            <w:noWrap/>
            <w:vAlign w:val="bottom"/>
            <w:hideMark/>
          </w:tcPr>
          <w:p w14:paraId="7CA05DAE" w14:textId="77777777" w:rsidR="0007685E" w:rsidRPr="0007685E" w:rsidRDefault="0007685E" w:rsidP="00E61F4E">
            <w:r w:rsidRPr="0007685E">
              <w:t>$481,400</w:t>
            </w:r>
          </w:p>
        </w:tc>
        <w:tc>
          <w:tcPr>
            <w:tcW w:w="1413" w:type="dxa"/>
            <w:tcBorders>
              <w:top w:val="nil"/>
              <w:left w:val="nil"/>
              <w:bottom w:val="single" w:sz="8" w:space="0" w:color="auto"/>
              <w:right w:val="single" w:sz="4" w:space="0" w:color="auto"/>
            </w:tcBorders>
            <w:shd w:val="clear" w:color="000000" w:fill="E7E6E6"/>
            <w:noWrap/>
            <w:vAlign w:val="bottom"/>
            <w:hideMark/>
          </w:tcPr>
          <w:p w14:paraId="2F36DF1D" w14:textId="77777777" w:rsidR="0007685E" w:rsidRPr="0007685E" w:rsidRDefault="0007685E" w:rsidP="00E61F4E">
            <w:r w:rsidRPr="0007685E">
              <w:t>$516,500</w:t>
            </w:r>
          </w:p>
        </w:tc>
        <w:tc>
          <w:tcPr>
            <w:tcW w:w="1546" w:type="dxa"/>
            <w:tcBorders>
              <w:top w:val="nil"/>
              <w:left w:val="nil"/>
              <w:bottom w:val="single" w:sz="8" w:space="0" w:color="auto"/>
              <w:right w:val="single" w:sz="8" w:space="0" w:color="auto"/>
            </w:tcBorders>
            <w:shd w:val="clear" w:color="000000" w:fill="E7E6E6"/>
            <w:noWrap/>
            <w:vAlign w:val="bottom"/>
            <w:hideMark/>
          </w:tcPr>
          <w:p w14:paraId="671A1B99" w14:textId="77777777" w:rsidR="0007685E" w:rsidRPr="0007685E" w:rsidRDefault="0007685E" w:rsidP="00E61F4E">
            <w:r w:rsidRPr="0007685E">
              <w:t>.</w:t>
            </w:r>
          </w:p>
        </w:tc>
      </w:tr>
      <w:tr w:rsidR="0007685E" w:rsidRPr="0007685E" w14:paraId="1475612B" w14:textId="77777777" w:rsidTr="005D100E">
        <w:trPr>
          <w:trHeight w:val="276"/>
        </w:trPr>
        <w:tc>
          <w:tcPr>
            <w:tcW w:w="3029" w:type="dxa"/>
            <w:tcBorders>
              <w:top w:val="nil"/>
              <w:left w:val="nil"/>
              <w:bottom w:val="nil"/>
              <w:right w:val="single" w:sz="4" w:space="0" w:color="auto"/>
            </w:tcBorders>
            <w:shd w:val="clear" w:color="auto" w:fill="auto"/>
            <w:noWrap/>
            <w:vAlign w:val="bottom"/>
            <w:hideMark/>
          </w:tcPr>
          <w:p w14:paraId="26D20ADD" w14:textId="77777777" w:rsidR="0007685E" w:rsidRPr="0007685E" w:rsidRDefault="0007685E" w:rsidP="00E61F4E">
            <w:r w:rsidRPr="0007685E">
              <w:t>.</w:t>
            </w:r>
          </w:p>
        </w:tc>
        <w:tc>
          <w:tcPr>
            <w:tcW w:w="1413" w:type="dxa"/>
            <w:tcBorders>
              <w:top w:val="nil"/>
              <w:left w:val="nil"/>
              <w:bottom w:val="nil"/>
              <w:right w:val="nil"/>
            </w:tcBorders>
            <w:shd w:val="clear" w:color="auto" w:fill="auto"/>
            <w:noWrap/>
            <w:vAlign w:val="bottom"/>
            <w:hideMark/>
          </w:tcPr>
          <w:p w14:paraId="62F780CC" w14:textId="77777777" w:rsidR="0007685E" w:rsidRPr="0007685E" w:rsidRDefault="0007685E" w:rsidP="00E61F4E">
            <w:r w:rsidRPr="0007685E">
              <w:t>.</w:t>
            </w:r>
          </w:p>
        </w:tc>
        <w:tc>
          <w:tcPr>
            <w:tcW w:w="1413" w:type="dxa"/>
            <w:tcBorders>
              <w:top w:val="nil"/>
              <w:left w:val="nil"/>
              <w:bottom w:val="nil"/>
              <w:right w:val="nil"/>
            </w:tcBorders>
            <w:shd w:val="clear" w:color="auto" w:fill="auto"/>
            <w:noWrap/>
            <w:vAlign w:val="bottom"/>
            <w:hideMark/>
          </w:tcPr>
          <w:p w14:paraId="4C14FB02" w14:textId="77777777" w:rsidR="0007685E" w:rsidRPr="0007685E" w:rsidRDefault="0007685E" w:rsidP="00E61F4E">
            <w:r w:rsidRPr="0007685E">
              <w:t>.</w:t>
            </w:r>
          </w:p>
        </w:tc>
        <w:tc>
          <w:tcPr>
            <w:tcW w:w="1413" w:type="dxa"/>
            <w:tcBorders>
              <w:top w:val="nil"/>
              <w:left w:val="nil"/>
              <w:bottom w:val="nil"/>
              <w:right w:val="nil"/>
            </w:tcBorders>
            <w:shd w:val="clear" w:color="auto" w:fill="auto"/>
            <w:noWrap/>
            <w:vAlign w:val="bottom"/>
            <w:hideMark/>
          </w:tcPr>
          <w:p w14:paraId="5BEE60F4" w14:textId="77777777" w:rsidR="0007685E" w:rsidRPr="0007685E" w:rsidRDefault="0007685E" w:rsidP="00E61F4E">
            <w:r w:rsidRPr="0007685E">
              <w:t>.</w:t>
            </w:r>
          </w:p>
        </w:tc>
        <w:tc>
          <w:tcPr>
            <w:tcW w:w="1413" w:type="dxa"/>
            <w:tcBorders>
              <w:top w:val="nil"/>
              <w:left w:val="nil"/>
              <w:bottom w:val="nil"/>
              <w:right w:val="nil"/>
            </w:tcBorders>
            <w:shd w:val="clear" w:color="auto" w:fill="auto"/>
            <w:noWrap/>
            <w:vAlign w:val="bottom"/>
            <w:hideMark/>
          </w:tcPr>
          <w:p w14:paraId="630A59B0" w14:textId="77777777" w:rsidR="0007685E" w:rsidRPr="0007685E" w:rsidRDefault="0007685E" w:rsidP="00E61F4E">
            <w:r w:rsidRPr="0007685E">
              <w:t>.</w:t>
            </w:r>
          </w:p>
        </w:tc>
        <w:tc>
          <w:tcPr>
            <w:tcW w:w="1413" w:type="dxa"/>
            <w:tcBorders>
              <w:top w:val="nil"/>
              <w:left w:val="nil"/>
              <w:bottom w:val="nil"/>
              <w:right w:val="nil"/>
            </w:tcBorders>
            <w:shd w:val="clear" w:color="auto" w:fill="auto"/>
            <w:noWrap/>
            <w:vAlign w:val="bottom"/>
            <w:hideMark/>
          </w:tcPr>
          <w:p w14:paraId="1F1FA81B" w14:textId="77777777" w:rsidR="0007685E" w:rsidRPr="0007685E" w:rsidRDefault="0007685E" w:rsidP="00E61F4E">
            <w:r w:rsidRPr="0007685E">
              <w:t>.</w:t>
            </w:r>
          </w:p>
        </w:tc>
        <w:tc>
          <w:tcPr>
            <w:tcW w:w="1546" w:type="dxa"/>
            <w:tcBorders>
              <w:top w:val="nil"/>
              <w:left w:val="nil"/>
              <w:bottom w:val="nil"/>
              <w:right w:val="nil"/>
            </w:tcBorders>
            <w:shd w:val="clear" w:color="auto" w:fill="auto"/>
            <w:noWrap/>
            <w:vAlign w:val="bottom"/>
            <w:hideMark/>
          </w:tcPr>
          <w:p w14:paraId="1C80CE41" w14:textId="77777777" w:rsidR="0007685E" w:rsidRPr="0007685E" w:rsidRDefault="0007685E" w:rsidP="00E61F4E">
            <w:r w:rsidRPr="0007685E">
              <w:t>.</w:t>
            </w:r>
          </w:p>
        </w:tc>
      </w:tr>
    </w:tbl>
    <w:p w14:paraId="390B3041" w14:textId="77777777" w:rsidR="0007685E" w:rsidRDefault="0007685E" w:rsidP="00E61F4E"/>
    <w:p w14:paraId="5FF2F4D2" w14:textId="5AF6619A" w:rsidR="0007685E" w:rsidRPr="00833FEA" w:rsidRDefault="0007685E" w:rsidP="00E61F4E">
      <w:r w:rsidRPr="00833FEA">
        <w:t>DPC calculates administration, operations, and overhead to include costs for staff salaries, employee benefits, office overhead, and travel.</w:t>
      </w:r>
    </w:p>
    <w:p w14:paraId="712FBB19" w14:textId="104FEE49" w:rsidR="0007685E" w:rsidRPr="00833FEA" w:rsidRDefault="0007685E" w:rsidP="00E61F4E">
      <w:r w:rsidRPr="00833FEA">
        <w:t>In Years 1, 2, and 3</w:t>
      </w:r>
      <w:r w:rsidR="00833FEA" w:rsidRPr="00833FEA">
        <w:t>, e</w:t>
      </w:r>
      <w:r w:rsidRPr="00833FEA">
        <w:t>xpenses for DPC administration include new positions.</w:t>
      </w:r>
    </w:p>
    <w:p w14:paraId="343C2248" w14:textId="52F32FBF" w:rsidR="00833FEA" w:rsidRPr="00833FEA" w:rsidRDefault="0007685E" w:rsidP="00E61F4E">
      <w:r w:rsidRPr="00833FEA">
        <w:t>Expenses for DPC administration are calculated with 3 percent COLA increases starting in Year 2.</w:t>
      </w:r>
      <w:r w:rsidR="00833FEA" w:rsidRPr="00833FEA">
        <w:t xml:space="preserve"> </w:t>
      </w:r>
    </w:p>
    <w:p w14:paraId="019907FC" w14:textId="60E5CCDB" w:rsidR="0007685E" w:rsidRPr="00833FEA" w:rsidRDefault="0007685E" w:rsidP="00E61F4E"/>
    <w:sectPr w:rsidR="0007685E" w:rsidRPr="00833FEA" w:rsidSect="005F1B49">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73EA" w14:textId="77777777" w:rsidR="006F05BF" w:rsidRDefault="006F05BF" w:rsidP="00E61F4E">
      <w:r>
        <w:separator/>
      </w:r>
    </w:p>
  </w:endnote>
  <w:endnote w:type="continuationSeparator" w:id="0">
    <w:p w14:paraId="7A7300EB" w14:textId="77777777" w:rsidR="006F05BF" w:rsidRDefault="006F05BF" w:rsidP="00E61F4E">
      <w:r>
        <w:continuationSeparator/>
      </w:r>
    </w:p>
  </w:endnote>
  <w:endnote w:type="continuationNotice" w:id="1">
    <w:p w14:paraId="2B8C9D39" w14:textId="77777777" w:rsidR="006F05BF" w:rsidRDefault="006F05BF" w:rsidP="00E61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Book">
    <w:altName w:val="Century Gothic"/>
    <w:panose1 w:val="00000000000000000000"/>
    <w:charset w:val="4D"/>
    <w:family w:val="swiss"/>
    <w:notTrueType/>
    <w:pitch w:val="variable"/>
    <w:sig w:usb0="00000001" w:usb1="5000204B" w:usb2="00000000" w:usb3="00000000" w:csb0="00000097" w:csb1="00000000"/>
  </w:font>
  <w:font w:name="Futura Bk BT">
    <w:altName w:val="Century Gothic"/>
    <w:charset w:val="00"/>
    <w:family w:val="swiss"/>
    <w:pitch w:val="variable"/>
    <w:sig w:usb0="00000087" w:usb1="00000000" w:usb2="00000000" w:usb3="00000000" w:csb0="0000001B" w:csb1="00000000"/>
  </w:font>
  <w:font w:name="Times New Roman (Body CS)">
    <w:altName w:val="Times New Roman"/>
    <w:panose1 w:val="00000000000000000000"/>
    <w:charset w:val="00"/>
    <w:family w:val="roman"/>
    <w:notTrueType/>
    <w:pitch w:val="default"/>
  </w:font>
  <w:font w:name="FUTURA HEAVY BT">
    <w:altName w:val="Century Gothic"/>
    <w:charset w:val="00"/>
    <w:family w:val="swiss"/>
    <w:pitch w:val="variable"/>
    <w:sig w:usb0="00000003" w:usb1="00000000" w:usb2="00000000" w:usb3="00000000" w:csb0="00000001" w:csb1="00000000"/>
  </w:font>
  <w:font w:name="FUTURA HEAVY ITALIC BT">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Hv BT">
    <w:altName w:val="Century Gothic"/>
    <w:charset w:val="00"/>
    <w:family w:val="swiss"/>
    <w:pitch w:val="variable"/>
    <w:sig w:usb0="00000087" w:usb1="00000000" w:usb2="00000000" w:usb3="00000000" w:csb0="0000001B" w:csb1="00000000"/>
  </w:font>
  <w:font w:name="Futura Medium">
    <w:altName w:val="Arial"/>
    <w:charset w:val="B1"/>
    <w:family w:val="swiss"/>
    <w:pitch w:val="variable"/>
    <w:sig w:usb0="00000000" w:usb1="00000000" w:usb2="00000000" w:usb3="00000000" w:csb0="000001FB" w:csb1="00000000"/>
  </w:font>
  <w:font w:name="FUTURA BOOK BT">
    <w:charset w:val="00"/>
    <w:family w:val="swiss"/>
    <w:pitch w:val="variable"/>
    <w:sig w:usb0="00000003" w:usb1="00000000" w:usb2="00000000" w:usb3="00000000" w:csb0="00000001" w:csb1="00000000"/>
  </w:font>
  <w:font w:name="FUTURA BOOK ITALIC BT">
    <w:altName w:val="Century Gothic"/>
    <w:charset w:val="00"/>
    <w:family w:val="swiss"/>
    <w:pitch w:val="variable"/>
    <w:sig w:usb0="00000003" w:usb1="00000000" w:usb2="00000000" w:usb3="00000000" w:csb0="00000001" w:csb1="00000000"/>
  </w:font>
  <w:font w:name="Montserrat">
    <w:altName w:val="Times New Roman"/>
    <w:charset w:val="00"/>
    <w:family w:val="auto"/>
    <w:pitch w:val="variable"/>
    <w:sig w:usb0="2000020F" w:usb1="00000003" w:usb2="00000000" w:usb3="00000000" w:csb0="00000197" w:csb1="00000000"/>
  </w:font>
  <w:font w:name="FUTURA MEDIUM BT">
    <w:altName w:val="Century Gothic"/>
    <w:charset w:val="00"/>
    <w:family w:val="swiss"/>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Palatino Bold">
    <w:altName w:val="Segoe UI Historic"/>
    <w:charset w:val="00"/>
    <w:family w:val="auto"/>
    <w:pitch w:val="variable"/>
    <w:sig w:usb0="00000001" w:usb1="7800205A" w:usb2="14600000" w:usb3="00000000" w:csb0="00000193"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w:altName w:val="Segoe UI Historic"/>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3BA6" w14:textId="77777777" w:rsidR="00656A32" w:rsidRDefault="00656A32" w:rsidP="00E61F4E">
    <w:r>
      <w:fldChar w:fldCharType="begin"/>
    </w:r>
    <w:r>
      <w:instrText>PAGE</w:instrText>
    </w:r>
    <w:r>
      <w:fldChar w:fldCharType="separate"/>
    </w:r>
    <w:r>
      <w:rPr>
        <w:noProof/>
      </w:rPr>
      <w:t>2</w:t>
    </w:r>
    <w:r>
      <w:fldChar w:fldCharType="end"/>
    </w:r>
  </w:p>
  <w:p w14:paraId="709F15BC" w14:textId="77777777" w:rsidR="00656A32" w:rsidRDefault="00656A32" w:rsidP="00E61F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262272"/>
      <w:docPartObj>
        <w:docPartGallery w:val="Page Numbers (Bottom of Page)"/>
        <w:docPartUnique/>
      </w:docPartObj>
    </w:sdtPr>
    <w:sdtEndPr>
      <w:rPr>
        <w:noProof/>
      </w:rPr>
    </w:sdtEndPr>
    <w:sdtContent>
      <w:p w14:paraId="01E39CF1" w14:textId="18E2B9A5" w:rsidR="009350AD" w:rsidRDefault="009350AD" w:rsidP="00E61F4E">
        <w:pPr>
          <w:pStyle w:val="Footer"/>
        </w:pPr>
        <w:r>
          <w:fldChar w:fldCharType="begin"/>
        </w:r>
        <w:r>
          <w:instrText xml:space="preserve"> PAGE   \* MERGEFORMAT </w:instrText>
        </w:r>
        <w:r>
          <w:fldChar w:fldCharType="separate"/>
        </w:r>
        <w:r>
          <w:rPr>
            <w:noProof/>
          </w:rPr>
          <w:t>2</w:t>
        </w:r>
        <w:r>
          <w:rPr>
            <w:noProof/>
          </w:rPr>
          <w:fldChar w:fldCharType="end"/>
        </w:r>
      </w:p>
    </w:sdtContent>
  </w:sdt>
  <w:p w14:paraId="0E343BD0" w14:textId="77777777" w:rsidR="009350AD" w:rsidRDefault="009350AD" w:rsidP="00E61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A6D9" w14:textId="77777777" w:rsidR="009350AD" w:rsidRDefault="009350AD" w:rsidP="00E61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D530" w14:textId="77777777" w:rsidR="006F05BF" w:rsidRDefault="006F05BF" w:rsidP="00E61F4E">
      <w:r>
        <w:separator/>
      </w:r>
    </w:p>
  </w:footnote>
  <w:footnote w:type="continuationSeparator" w:id="0">
    <w:p w14:paraId="1551F5DD" w14:textId="77777777" w:rsidR="006F05BF" w:rsidRDefault="006F05BF" w:rsidP="00E61F4E">
      <w:r>
        <w:continuationSeparator/>
      </w:r>
    </w:p>
  </w:footnote>
  <w:footnote w:type="continuationNotice" w:id="1">
    <w:p w14:paraId="55BE2A18" w14:textId="77777777" w:rsidR="006F05BF" w:rsidRDefault="006F05BF" w:rsidP="00E61F4E"/>
  </w:footnote>
  <w:footnote w:id="2">
    <w:p w14:paraId="459F44AF" w14:textId="2BC0EC53" w:rsidR="00656A32" w:rsidRDefault="00656A32" w:rsidP="00E61F4E">
      <w:pPr>
        <w:pStyle w:val="FootnoteText"/>
      </w:pPr>
      <w:r>
        <w:rPr>
          <w:rStyle w:val="FootnoteReference"/>
        </w:rPr>
        <w:footnoteRef/>
      </w:r>
      <w:r>
        <w:t xml:space="preserve"> </w:t>
      </w:r>
      <w:r w:rsidRPr="001D7B56">
        <w:t xml:space="preserve">Rudnick, J., Tomari, K., Dobbin, K., Lubell, M., and K. Bidenwig. </w:t>
      </w:r>
      <w:r w:rsidRPr="001D7B56">
        <w:rPr>
          <w:i/>
        </w:rPr>
        <w:t>2023 Delta Residents Survey Summary Report</w:t>
      </w:r>
      <w:r w:rsidRPr="001D7B56">
        <w:t>. Report developed for the Delta Stewardship Council, Delta Science Program. Sacramento, CA,</w:t>
      </w:r>
      <w:r>
        <w:t xml:space="preserve"> pg. 56.</w:t>
      </w:r>
    </w:p>
  </w:footnote>
  <w:footnote w:id="3">
    <w:p w14:paraId="41314FEA" w14:textId="51935B4A" w:rsidR="00656A32" w:rsidRDefault="00656A32" w:rsidP="00E61F4E">
      <w:pPr>
        <w:pStyle w:val="FootnoteText"/>
      </w:pPr>
      <w:r>
        <w:rPr>
          <w:rStyle w:val="FootnoteReference"/>
        </w:rPr>
        <w:footnoteRef/>
      </w:r>
      <w:r>
        <w:t xml:space="preserve"> Ibid, pg. 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D29E" w14:textId="77777777" w:rsidR="009350AD" w:rsidRDefault="009350AD" w:rsidP="00E61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1853" w14:textId="4CED6CED" w:rsidR="00656A32" w:rsidRPr="009F2D76" w:rsidRDefault="00656A32" w:rsidP="00E61F4E">
    <w:pPr>
      <w:pStyle w:val="HeaderFooterText"/>
    </w:pPr>
    <w:r>
      <w:rPr>
        <w:noProof/>
      </w:rPr>
      <mc:AlternateContent>
        <mc:Choice Requires="wpg">
          <w:drawing>
            <wp:anchor distT="0" distB="0" distL="114300" distR="114300" simplePos="0" relativeHeight="251659264" behindDoc="0" locked="0" layoutInCell="1" allowOverlap="1" wp14:anchorId="3951FBB3" wp14:editId="55272422">
              <wp:simplePos x="0" y="0"/>
              <wp:positionH relativeFrom="column">
                <wp:posOffset>-522605</wp:posOffset>
              </wp:positionH>
              <wp:positionV relativeFrom="paragraph">
                <wp:posOffset>-306070</wp:posOffset>
              </wp:positionV>
              <wp:extent cx="287020" cy="2760980"/>
              <wp:effectExtent l="0" t="0" r="17780" b="20320"/>
              <wp:wrapNone/>
              <wp:docPr id="201139320" name="Group 201139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020" cy="2760980"/>
                        <a:chOff x="0" y="0"/>
                        <a:chExt cx="287267" cy="2760980"/>
                      </a:xfrm>
                    </wpg:grpSpPr>
                    <wps:wsp>
                      <wps:cNvPr id="2130723952" name="Straight Connector 2130723952"/>
                      <wps:cNvCnPr/>
                      <wps:spPr>
                        <a:xfrm>
                          <a:off x="0" y="0"/>
                          <a:ext cx="0" cy="2173941"/>
                        </a:xfrm>
                        <a:prstGeom prst="line">
                          <a:avLst/>
                        </a:prstGeom>
                        <a:noFill/>
                        <a:ln w="9525" cap="flat" cmpd="sng" algn="ctr">
                          <a:solidFill>
                            <a:srgbClr val="2773A3"/>
                          </a:solidFill>
                          <a:prstDash val="solid"/>
                          <a:miter lim="800000"/>
                        </a:ln>
                        <a:effectLst/>
                      </wps:spPr>
                      <wps:bodyPr/>
                    </wps:wsp>
                    <wps:wsp>
                      <wps:cNvPr id="515988654" name="Straight Connector 515988654"/>
                      <wps:cNvCnPr/>
                      <wps:spPr>
                        <a:xfrm>
                          <a:off x="61252" y="0"/>
                          <a:ext cx="13335" cy="2760980"/>
                        </a:xfrm>
                        <a:prstGeom prst="line">
                          <a:avLst/>
                        </a:prstGeom>
                        <a:noFill/>
                        <a:ln w="9525" cap="flat" cmpd="sng" algn="ctr">
                          <a:solidFill>
                            <a:srgbClr val="CC6600"/>
                          </a:solidFill>
                          <a:prstDash val="solid"/>
                          <a:miter lim="800000"/>
                        </a:ln>
                        <a:effectLst/>
                      </wps:spPr>
                      <wps:bodyPr/>
                    </wps:wsp>
                    <wps:wsp>
                      <wps:cNvPr id="1027327069" name="Straight Connector 1027327069"/>
                      <wps:cNvCnPr/>
                      <wps:spPr>
                        <a:xfrm>
                          <a:off x="135629" y="0"/>
                          <a:ext cx="11430" cy="2456180"/>
                        </a:xfrm>
                        <a:prstGeom prst="line">
                          <a:avLst/>
                        </a:prstGeom>
                        <a:noFill/>
                        <a:ln w="9525" cap="flat" cmpd="sng" algn="ctr">
                          <a:solidFill>
                            <a:srgbClr val="00A0AE"/>
                          </a:solidFill>
                          <a:prstDash val="solid"/>
                          <a:miter lim="800000"/>
                        </a:ln>
                        <a:effectLst/>
                      </wps:spPr>
                      <wps:bodyPr/>
                    </wps:wsp>
                    <wps:wsp>
                      <wps:cNvPr id="453041291" name="Straight Connector 1"/>
                      <wps:cNvCnPr/>
                      <wps:spPr>
                        <a:xfrm>
                          <a:off x="205631" y="0"/>
                          <a:ext cx="9525" cy="2128520"/>
                        </a:xfrm>
                        <a:prstGeom prst="line">
                          <a:avLst/>
                        </a:prstGeom>
                        <a:noFill/>
                        <a:ln w="9525" cap="flat" cmpd="sng" algn="ctr">
                          <a:solidFill>
                            <a:srgbClr val="3C6D58"/>
                          </a:solidFill>
                          <a:prstDash val="solid"/>
                          <a:miter lim="800000"/>
                        </a:ln>
                        <a:effectLst/>
                      </wps:spPr>
                      <wps:bodyPr/>
                    </wps:wsp>
                    <wps:wsp>
                      <wps:cNvPr id="1421631591" name="Straight Connector 1"/>
                      <wps:cNvCnPr/>
                      <wps:spPr>
                        <a:xfrm>
                          <a:off x="275633" y="0"/>
                          <a:ext cx="11634" cy="2599765"/>
                        </a:xfrm>
                        <a:prstGeom prst="line">
                          <a:avLst/>
                        </a:prstGeom>
                        <a:noFill/>
                        <a:ln w="9525" cap="flat" cmpd="sng" algn="ctr">
                          <a:solidFill>
                            <a:srgbClr val="283B9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70BFF102" id="Group 201139320" o:spid="_x0000_s1026" alt="&quot;&quot;" style="position:absolute;margin-left:-41.15pt;margin-top:-24.1pt;width:22.6pt;height:217.4pt;z-index:251659264" coordsize="2872,2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">
              <v:line id="Straight Connector 2130723952" o:spid="_x0000_s1027" style="position:absolute;visibility:visible;mso-wrap-style:square" from="0,0" to="0,2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" strokecolor="#2773a3">
                <v:stroke joinstyle="miter"/>
              </v:line>
              <v:line id="Straight Connector 515988654" o:spid="_x0000_s1028" style="position:absolute;visibility:visible;mso-wrap-style:square" from="612,0" to="745,27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" strokecolor="#c60">
                <v:stroke joinstyle="miter"/>
              </v:line>
              <v:line id="Straight Connector 1027327069" o:spid="_x0000_s1029" style="position:absolute;visibility:visible;mso-wrap-style:square" from="1356,0" to="1470,2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" strokecolor="#00a0ae">
                <v:stroke joinstyle="miter"/>
              </v:line>
              <v:line id="Straight Connector 1" o:spid="_x0000_s1030" style="position:absolute;visibility:visible;mso-wrap-style:square" from="2056,0" to="2151,2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" strokecolor="#3c6d58">
                <v:stroke joinstyle="miter"/>
              </v:line>
              <v:line id="Straight Connector 1" o:spid="_x0000_s1031" style="position:absolute;visibility:visible;mso-wrap-style:square" from="2756,0" to="2872,2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" strokecolor="#283b90">
                <v:stroke joinstyle="miter"/>
              </v:line>
            </v:group>
          </w:pict>
        </mc:Fallback>
      </mc:AlternateContent>
    </w:r>
    <w:r>
      <w:rPr>
        <w:noProof/>
      </w:rPr>
      <w:t>Sacramento-San Joaquin Delta NHA Management Plan</w:t>
    </w:r>
    <w:r w:rsidR="00057254">
      <w:rPr>
        <w:noProof/>
      </w:rPr>
      <w:t xml:space="preserve"> - </w:t>
    </w:r>
    <w:r w:rsidR="00057254">
      <w:rPr>
        <w:b/>
        <w:bCs/>
        <w:noProof/>
        <w:color w:val="C00000"/>
      </w:rPr>
      <w:t>ADMINISTRATIVE DRAFT</w:t>
    </w:r>
  </w:p>
  <w:p w14:paraId="366E850E" w14:textId="77777777" w:rsidR="00656A32" w:rsidRDefault="00656A32" w:rsidP="00E61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6E4A" w14:textId="77777777" w:rsidR="009350AD" w:rsidRDefault="009350AD" w:rsidP="00E61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5FE0788"/>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3A8A0B5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210D6F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66E8886"/>
    <w:lvl w:ilvl="0">
      <w:start w:val="1"/>
      <w:numFmt w:val="bullet"/>
      <w:lvlText w:val="o"/>
      <w:lvlJc w:val="left"/>
      <w:pPr>
        <w:ind w:left="720" w:hanging="360"/>
      </w:pPr>
      <w:rPr>
        <w:rFonts w:ascii="Courier New" w:hAnsi="Courier New" w:cs="Courier New" w:hint="default"/>
      </w:rPr>
    </w:lvl>
  </w:abstractNum>
  <w:abstractNum w:abstractNumId="4" w15:restartNumberingAfterBreak="0">
    <w:nsid w:val="0C926437"/>
    <w:multiLevelType w:val="multilevel"/>
    <w:tmpl w:val="D930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FF02E2"/>
    <w:multiLevelType w:val="hybridMultilevel"/>
    <w:tmpl w:val="8D706E88"/>
    <w:lvl w:ilvl="0" w:tplc="BF54A7E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56DFE"/>
    <w:multiLevelType w:val="hybridMultilevel"/>
    <w:tmpl w:val="734EF07C"/>
    <w:lvl w:ilvl="0" w:tplc="04090001">
      <w:start w:val="1"/>
      <w:numFmt w:val="bullet"/>
      <w:lvlText w:val=""/>
      <w:lvlJc w:val="left"/>
      <w:pPr>
        <w:ind w:left="720" w:hanging="360"/>
      </w:pPr>
      <w:rPr>
        <w:rFonts w:ascii="Symbol" w:hAnsi="Symbol" w:hint="default"/>
      </w:rPr>
    </w:lvl>
    <w:lvl w:ilvl="1" w:tplc="63EA8254">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24F20"/>
    <w:multiLevelType w:val="hybridMultilevel"/>
    <w:tmpl w:val="D91815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2252BC"/>
    <w:multiLevelType w:val="multilevel"/>
    <w:tmpl w:val="830E2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E374DDA"/>
    <w:multiLevelType w:val="hybridMultilevel"/>
    <w:tmpl w:val="BE0EC0D8"/>
    <w:lvl w:ilvl="0" w:tplc="A0C2A698">
      <w:start w:val="1"/>
      <w:numFmt w:val="decimal"/>
      <w:lvlText w:val="%1."/>
      <w:lvlJc w:val="left"/>
      <w:pPr>
        <w:ind w:left="1440" w:hanging="360"/>
      </w:pPr>
    </w:lvl>
    <w:lvl w:ilvl="1" w:tplc="C31A332C">
      <w:start w:val="1"/>
      <w:numFmt w:val="decimal"/>
      <w:lvlText w:val="%2."/>
      <w:lvlJc w:val="left"/>
      <w:pPr>
        <w:ind w:left="1440" w:hanging="360"/>
      </w:pPr>
    </w:lvl>
    <w:lvl w:ilvl="2" w:tplc="B10ED49E">
      <w:start w:val="1"/>
      <w:numFmt w:val="decimal"/>
      <w:lvlText w:val="%3."/>
      <w:lvlJc w:val="left"/>
      <w:pPr>
        <w:ind w:left="1440" w:hanging="360"/>
      </w:pPr>
    </w:lvl>
    <w:lvl w:ilvl="3" w:tplc="681C8EAC">
      <w:start w:val="1"/>
      <w:numFmt w:val="decimal"/>
      <w:lvlText w:val="%4."/>
      <w:lvlJc w:val="left"/>
      <w:pPr>
        <w:ind w:left="1440" w:hanging="360"/>
      </w:pPr>
    </w:lvl>
    <w:lvl w:ilvl="4" w:tplc="C4C8CEB6">
      <w:start w:val="1"/>
      <w:numFmt w:val="decimal"/>
      <w:lvlText w:val="%5."/>
      <w:lvlJc w:val="left"/>
      <w:pPr>
        <w:ind w:left="1440" w:hanging="360"/>
      </w:pPr>
    </w:lvl>
    <w:lvl w:ilvl="5" w:tplc="985ED922">
      <w:start w:val="1"/>
      <w:numFmt w:val="decimal"/>
      <w:lvlText w:val="%6."/>
      <w:lvlJc w:val="left"/>
      <w:pPr>
        <w:ind w:left="1440" w:hanging="360"/>
      </w:pPr>
    </w:lvl>
    <w:lvl w:ilvl="6" w:tplc="6F82316C">
      <w:start w:val="1"/>
      <w:numFmt w:val="decimal"/>
      <w:lvlText w:val="%7."/>
      <w:lvlJc w:val="left"/>
      <w:pPr>
        <w:ind w:left="1440" w:hanging="360"/>
      </w:pPr>
    </w:lvl>
    <w:lvl w:ilvl="7" w:tplc="6E80AC42">
      <w:start w:val="1"/>
      <w:numFmt w:val="decimal"/>
      <w:lvlText w:val="%8."/>
      <w:lvlJc w:val="left"/>
      <w:pPr>
        <w:ind w:left="1440" w:hanging="360"/>
      </w:pPr>
    </w:lvl>
    <w:lvl w:ilvl="8" w:tplc="D074840A">
      <w:start w:val="1"/>
      <w:numFmt w:val="decimal"/>
      <w:lvlText w:val="%9."/>
      <w:lvlJc w:val="left"/>
      <w:pPr>
        <w:ind w:left="1440" w:hanging="360"/>
      </w:pPr>
    </w:lvl>
  </w:abstractNum>
  <w:num w:numId="1" w16cid:durableId="632711704">
    <w:abstractNumId w:val="3"/>
  </w:num>
  <w:num w:numId="2" w16cid:durableId="1339962351">
    <w:abstractNumId w:val="2"/>
  </w:num>
  <w:num w:numId="3" w16cid:durableId="1779982277">
    <w:abstractNumId w:val="7"/>
  </w:num>
  <w:num w:numId="4" w16cid:durableId="1183664987">
    <w:abstractNumId w:val="6"/>
  </w:num>
  <w:num w:numId="5" w16cid:durableId="1514418248">
    <w:abstractNumId w:val="5"/>
  </w:num>
  <w:num w:numId="6" w16cid:durableId="442962425">
    <w:abstractNumId w:val="1"/>
  </w:num>
  <w:num w:numId="7" w16cid:durableId="90904186">
    <w:abstractNumId w:val="0"/>
  </w:num>
  <w:num w:numId="8" w16cid:durableId="1660690884">
    <w:abstractNumId w:val="8"/>
  </w:num>
  <w:num w:numId="9" w16cid:durableId="283730141">
    <w:abstractNumId w:val="4"/>
  </w:num>
  <w:num w:numId="10" w16cid:durableId="164832230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76E"/>
    <w:rsid w:val="00000D85"/>
    <w:rsid w:val="000019D8"/>
    <w:rsid w:val="00007B05"/>
    <w:rsid w:val="00007EF9"/>
    <w:rsid w:val="00012635"/>
    <w:rsid w:val="00013990"/>
    <w:rsid w:val="0001634F"/>
    <w:rsid w:val="00017B81"/>
    <w:rsid w:val="00021D27"/>
    <w:rsid w:val="00021FD7"/>
    <w:rsid w:val="00024895"/>
    <w:rsid w:val="00025EAF"/>
    <w:rsid w:val="00026C1F"/>
    <w:rsid w:val="00027534"/>
    <w:rsid w:val="000333B1"/>
    <w:rsid w:val="00040D5E"/>
    <w:rsid w:val="00043B0E"/>
    <w:rsid w:val="00044B84"/>
    <w:rsid w:val="000462E9"/>
    <w:rsid w:val="000478E2"/>
    <w:rsid w:val="0005051C"/>
    <w:rsid w:val="00050533"/>
    <w:rsid w:val="00052A03"/>
    <w:rsid w:val="00052B05"/>
    <w:rsid w:val="00052F82"/>
    <w:rsid w:val="0005469C"/>
    <w:rsid w:val="000546BE"/>
    <w:rsid w:val="000551CB"/>
    <w:rsid w:val="00056E7C"/>
    <w:rsid w:val="00057254"/>
    <w:rsid w:val="0006277B"/>
    <w:rsid w:val="00065DA2"/>
    <w:rsid w:val="000675C3"/>
    <w:rsid w:val="000701EC"/>
    <w:rsid w:val="00070E6E"/>
    <w:rsid w:val="000726E9"/>
    <w:rsid w:val="000727D0"/>
    <w:rsid w:val="0007685E"/>
    <w:rsid w:val="00082777"/>
    <w:rsid w:val="00083639"/>
    <w:rsid w:val="000840E3"/>
    <w:rsid w:val="000848F0"/>
    <w:rsid w:val="00085C18"/>
    <w:rsid w:val="00085DCF"/>
    <w:rsid w:val="00094154"/>
    <w:rsid w:val="00096B4F"/>
    <w:rsid w:val="00097E94"/>
    <w:rsid w:val="000A1FAE"/>
    <w:rsid w:val="000A2567"/>
    <w:rsid w:val="000A3781"/>
    <w:rsid w:val="000A3E3F"/>
    <w:rsid w:val="000A7C94"/>
    <w:rsid w:val="000B053D"/>
    <w:rsid w:val="000B25C3"/>
    <w:rsid w:val="000B341B"/>
    <w:rsid w:val="000B54D7"/>
    <w:rsid w:val="000B780E"/>
    <w:rsid w:val="000B7C90"/>
    <w:rsid w:val="000C108D"/>
    <w:rsid w:val="000C4820"/>
    <w:rsid w:val="000C4D12"/>
    <w:rsid w:val="000D186F"/>
    <w:rsid w:val="000D1C2E"/>
    <w:rsid w:val="000D2BA2"/>
    <w:rsid w:val="000D34AB"/>
    <w:rsid w:val="000D47CC"/>
    <w:rsid w:val="000D55FF"/>
    <w:rsid w:val="000D73A4"/>
    <w:rsid w:val="000D758E"/>
    <w:rsid w:val="000D796D"/>
    <w:rsid w:val="000E3510"/>
    <w:rsid w:val="000E6ADE"/>
    <w:rsid w:val="000E6CA2"/>
    <w:rsid w:val="000E6CED"/>
    <w:rsid w:val="000F1268"/>
    <w:rsid w:val="000F25E1"/>
    <w:rsid w:val="000F2B76"/>
    <w:rsid w:val="000F594A"/>
    <w:rsid w:val="000F6438"/>
    <w:rsid w:val="000F6BB2"/>
    <w:rsid w:val="000F7D7E"/>
    <w:rsid w:val="001006DA"/>
    <w:rsid w:val="00100ABE"/>
    <w:rsid w:val="0010249E"/>
    <w:rsid w:val="00102BD9"/>
    <w:rsid w:val="00102DB0"/>
    <w:rsid w:val="00104078"/>
    <w:rsid w:val="00112667"/>
    <w:rsid w:val="001137C5"/>
    <w:rsid w:val="0011509A"/>
    <w:rsid w:val="001157BE"/>
    <w:rsid w:val="00115D7E"/>
    <w:rsid w:val="00116C0D"/>
    <w:rsid w:val="00117B17"/>
    <w:rsid w:val="00121EB0"/>
    <w:rsid w:val="00124B3B"/>
    <w:rsid w:val="00125B8A"/>
    <w:rsid w:val="0012644C"/>
    <w:rsid w:val="00127132"/>
    <w:rsid w:val="00127972"/>
    <w:rsid w:val="00127A7A"/>
    <w:rsid w:val="00130F61"/>
    <w:rsid w:val="00131B78"/>
    <w:rsid w:val="00132EA7"/>
    <w:rsid w:val="0013424C"/>
    <w:rsid w:val="001365A5"/>
    <w:rsid w:val="001405EE"/>
    <w:rsid w:val="00145778"/>
    <w:rsid w:val="00147C95"/>
    <w:rsid w:val="00147DEE"/>
    <w:rsid w:val="00150A59"/>
    <w:rsid w:val="00157A87"/>
    <w:rsid w:val="0016205C"/>
    <w:rsid w:val="00166434"/>
    <w:rsid w:val="001711F3"/>
    <w:rsid w:val="0017127C"/>
    <w:rsid w:val="00174DB7"/>
    <w:rsid w:val="0018244D"/>
    <w:rsid w:val="00184878"/>
    <w:rsid w:val="00185B29"/>
    <w:rsid w:val="001862CD"/>
    <w:rsid w:val="00186901"/>
    <w:rsid w:val="0018785F"/>
    <w:rsid w:val="00187920"/>
    <w:rsid w:val="00190695"/>
    <w:rsid w:val="00191EA9"/>
    <w:rsid w:val="0019218D"/>
    <w:rsid w:val="00193B48"/>
    <w:rsid w:val="0019474D"/>
    <w:rsid w:val="00194C0A"/>
    <w:rsid w:val="001A0D65"/>
    <w:rsid w:val="001A2641"/>
    <w:rsid w:val="001A4D84"/>
    <w:rsid w:val="001A6618"/>
    <w:rsid w:val="001B43D3"/>
    <w:rsid w:val="001B54FF"/>
    <w:rsid w:val="001C3DA7"/>
    <w:rsid w:val="001C6065"/>
    <w:rsid w:val="001C7DEA"/>
    <w:rsid w:val="001D036D"/>
    <w:rsid w:val="001D0BF2"/>
    <w:rsid w:val="001D17AD"/>
    <w:rsid w:val="001D3019"/>
    <w:rsid w:val="001D3702"/>
    <w:rsid w:val="001D4846"/>
    <w:rsid w:val="001D7B56"/>
    <w:rsid w:val="001E0991"/>
    <w:rsid w:val="001E0BFD"/>
    <w:rsid w:val="001E256B"/>
    <w:rsid w:val="001E274A"/>
    <w:rsid w:val="001E7249"/>
    <w:rsid w:val="001F0C02"/>
    <w:rsid w:val="001F0E13"/>
    <w:rsid w:val="001F2088"/>
    <w:rsid w:val="001F31D0"/>
    <w:rsid w:val="001F527A"/>
    <w:rsid w:val="001F52E3"/>
    <w:rsid w:val="001F7854"/>
    <w:rsid w:val="001F7C04"/>
    <w:rsid w:val="00201107"/>
    <w:rsid w:val="00201657"/>
    <w:rsid w:val="00201ECA"/>
    <w:rsid w:val="00203214"/>
    <w:rsid w:val="00204485"/>
    <w:rsid w:val="00204E9C"/>
    <w:rsid w:val="00205C63"/>
    <w:rsid w:val="0021105C"/>
    <w:rsid w:val="002170F5"/>
    <w:rsid w:val="00217746"/>
    <w:rsid w:val="0022004B"/>
    <w:rsid w:val="00220F29"/>
    <w:rsid w:val="0022125B"/>
    <w:rsid w:val="00222A1C"/>
    <w:rsid w:val="00224021"/>
    <w:rsid w:val="002261CC"/>
    <w:rsid w:val="00227E14"/>
    <w:rsid w:val="00230E90"/>
    <w:rsid w:val="00231F0C"/>
    <w:rsid w:val="0023354B"/>
    <w:rsid w:val="00234D5E"/>
    <w:rsid w:val="00235337"/>
    <w:rsid w:val="002356DE"/>
    <w:rsid w:val="00236222"/>
    <w:rsid w:val="0023673D"/>
    <w:rsid w:val="002368DB"/>
    <w:rsid w:val="0023716D"/>
    <w:rsid w:val="00237205"/>
    <w:rsid w:val="00237347"/>
    <w:rsid w:val="00237DA1"/>
    <w:rsid w:val="00244A7B"/>
    <w:rsid w:val="00244F46"/>
    <w:rsid w:val="002543CE"/>
    <w:rsid w:val="002569C9"/>
    <w:rsid w:val="00261C4E"/>
    <w:rsid w:val="002625BA"/>
    <w:rsid w:val="0026541B"/>
    <w:rsid w:val="00265CDD"/>
    <w:rsid w:val="00276A0E"/>
    <w:rsid w:val="00281CDB"/>
    <w:rsid w:val="002836E1"/>
    <w:rsid w:val="002917B6"/>
    <w:rsid w:val="00291FC1"/>
    <w:rsid w:val="0029255A"/>
    <w:rsid w:val="00292BB0"/>
    <w:rsid w:val="002951F4"/>
    <w:rsid w:val="00295413"/>
    <w:rsid w:val="00297919"/>
    <w:rsid w:val="002A0E3A"/>
    <w:rsid w:val="002A7AF0"/>
    <w:rsid w:val="002B0295"/>
    <w:rsid w:val="002B4E49"/>
    <w:rsid w:val="002B5793"/>
    <w:rsid w:val="002B5BAA"/>
    <w:rsid w:val="002B6841"/>
    <w:rsid w:val="002B72BE"/>
    <w:rsid w:val="002B7478"/>
    <w:rsid w:val="002B7C7D"/>
    <w:rsid w:val="002C0E39"/>
    <w:rsid w:val="002C2EC0"/>
    <w:rsid w:val="002C3070"/>
    <w:rsid w:val="002C4D39"/>
    <w:rsid w:val="002C5070"/>
    <w:rsid w:val="002C622F"/>
    <w:rsid w:val="002C7D0E"/>
    <w:rsid w:val="002D2C76"/>
    <w:rsid w:val="002D6E42"/>
    <w:rsid w:val="002D790A"/>
    <w:rsid w:val="002E0BA0"/>
    <w:rsid w:val="002E2518"/>
    <w:rsid w:val="002E4619"/>
    <w:rsid w:val="002E4DF3"/>
    <w:rsid w:val="002F1EC8"/>
    <w:rsid w:val="002F1F29"/>
    <w:rsid w:val="002F245F"/>
    <w:rsid w:val="002F3BB7"/>
    <w:rsid w:val="002F4273"/>
    <w:rsid w:val="002F6800"/>
    <w:rsid w:val="00301BF2"/>
    <w:rsid w:val="00302C4E"/>
    <w:rsid w:val="00304375"/>
    <w:rsid w:val="003061AA"/>
    <w:rsid w:val="00307DAD"/>
    <w:rsid w:val="00314C5E"/>
    <w:rsid w:val="00316951"/>
    <w:rsid w:val="0032114E"/>
    <w:rsid w:val="0032595F"/>
    <w:rsid w:val="00326938"/>
    <w:rsid w:val="00327382"/>
    <w:rsid w:val="00331BB9"/>
    <w:rsid w:val="00333F21"/>
    <w:rsid w:val="0033458C"/>
    <w:rsid w:val="00334FF0"/>
    <w:rsid w:val="003362A5"/>
    <w:rsid w:val="00336D26"/>
    <w:rsid w:val="00340591"/>
    <w:rsid w:val="003423C0"/>
    <w:rsid w:val="00342A29"/>
    <w:rsid w:val="00343577"/>
    <w:rsid w:val="00351FF2"/>
    <w:rsid w:val="003548A9"/>
    <w:rsid w:val="003609D7"/>
    <w:rsid w:val="00363D21"/>
    <w:rsid w:val="00364D69"/>
    <w:rsid w:val="0036541D"/>
    <w:rsid w:val="00366A57"/>
    <w:rsid w:val="00371D47"/>
    <w:rsid w:val="003722E6"/>
    <w:rsid w:val="00377F16"/>
    <w:rsid w:val="00380307"/>
    <w:rsid w:val="00380F58"/>
    <w:rsid w:val="00386A58"/>
    <w:rsid w:val="0039349B"/>
    <w:rsid w:val="003935EE"/>
    <w:rsid w:val="003949C6"/>
    <w:rsid w:val="00396CD8"/>
    <w:rsid w:val="003A1761"/>
    <w:rsid w:val="003A3725"/>
    <w:rsid w:val="003A48DF"/>
    <w:rsid w:val="003A6135"/>
    <w:rsid w:val="003B0F5B"/>
    <w:rsid w:val="003B2B62"/>
    <w:rsid w:val="003B5E07"/>
    <w:rsid w:val="003C3B41"/>
    <w:rsid w:val="003C5342"/>
    <w:rsid w:val="003C6F06"/>
    <w:rsid w:val="003D2FDF"/>
    <w:rsid w:val="003D4843"/>
    <w:rsid w:val="003D4A18"/>
    <w:rsid w:val="003D50F1"/>
    <w:rsid w:val="003D562D"/>
    <w:rsid w:val="003D5C59"/>
    <w:rsid w:val="003D5DAE"/>
    <w:rsid w:val="003E0B9E"/>
    <w:rsid w:val="003E60AD"/>
    <w:rsid w:val="003F0A51"/>
    <w:rsid w:val="003F1677"/>
    <w:rsid w:val="003F48E2"/>
    <w:rsid w:val="003F5094"/>
    <w:rsid w:val="004008E6"/>
    <w:rsid w:val="004058E3"/>
    <w:rsid w:val="00405CA7"/>
    <w:rsid w:val="004107B7"/>
    <w:rsid w:val="00412EEA"/>
    <w:rsid w:val="004131CB"/>
    <w:rsid w:val="00420E0F"/>
    <w:rsid w:val="00421540"/>
    <w:rsid w:val="00421EE9"/>
    <w:rsid w:val="00423167"/>
    <w:rsid w:val="00423896"/>
    <w:rsid w:val="00423957"/>
    <w:rsid w:val="0042737C"/>
    <w:rsid w:val="00430B13"/>
    <w:rsid w:val="0043174C"/>
    <w:rsid w:val="00432557"/>
    <w:rsid w:val="00434DF3"/>
    <w:rsid w:val="00435EC7"/>
    <w:rsid w:val="00440843"/>
    <w:rsid w:val="00443D65"/>
    <w:rsid w:val="004444E9"/>
    <w:rsid w:val="00446A00"/>
    <w:rsid w:val="004523BF"/>
    <w:rsid w:val="00455008"/>
    <w:rsid w:val="004557AC"/>
    <w:rsid w:val="00456FF7"/>
    <w:rsid w:val="00460131"/>
    <w:rsid w:val="00464F4D"/>
    <w:rsid w:val="00465938"/>
    <w:rsid w:val="00467A17"/>
    <w:rsid w:val="00470895"/>
    <w:rsid w:val="00470FC3"/>
    <w:rsid w:val="00476800"/>
    <w:rsid w:val="004772E5"/>
    <w:rsid w:val="004778D8"/>
    <w:rsid w:val="00477D72"/>
    <w:rsid w:val="00482F58"/>
    <w:rsid w:val="004874D9"/>
    <w:rsid w:val="004914DB"/>
    <w:rsid w:val="0049201F"/>
    <w:rsid w:val="00493A61"/>
    <w:rsid w:val="00496F95"/>
    <w:rsid w:val="00497F13"/>
    <w:rsid w:val="004A4BB8"/>
    <w:rsid w:val="004A5662"/>
    <w:rsid w:val="004A57FF"/>
    <w:rsid w:val="004A59E1"/>
    <w:rsid w:val="004A6409"/>
    <w:rsid w:val="004B24F1"/>
    <w:rsid w:val="004B32F8"/>
    <w:rsid w:val="004B4D1B"/>
    <w:rsid w:val="004B6BB1"/>
    <w:rsid w:val="004C1387"/>
    <w:rsid w:val="004C1CFB"/>
    <w:rsid w:val="004C2677"/>
    <w:rsid w:val="004C4097"/>
    <w:rsid w:val="004C6C54"/>
    <w:rsid w:val="004D31D1"/>
    <w:rsid w:val="004E74BF"/>
    <w:rsid w:val="004F0A0D"/>
    <w:rsid w:val="004F1A5A"/>
    <w:rsid w:val="004F2F2B"/>
    <w:rsid w:val="004F31BB"/>
    <w:rsid w:val="0050053C"/>
    <w:rsid w:val="005015B5"/>
    <w:rsid w:val="005018B7"/>
    <w:rsid w:val="0050200D"/>
    <w:rsid w:val="00502C51"/>
    <w:rsid w:val="00503358"/>
    <w:rsid w:val="00503626"/>
    <w:rsid w:val="0050677E"/>
    <w:rsid w:val="00507030"/>
    <w:rsid w:val="005071CA"/>
    <w:rsid w:val="00507C51"/>
    <w:rsid w:val="00513AD3"/>
    <w:rsid w:val="00513DF7"/>
    <w:rsid w:val="00517194"/>
    <w:rsid w:val="0052061D"/>
    <w:rsid w:val="00522722"/>
    <w:rsid w:val="00522D47"/>
    <w:rsid w:val="0052793A"/>
    <w:rsid w:val="00527F32"/>
    <w:rsid w:val="00530AF9"/>
    <w:rsid w:val="0053118D"/>
    <w:rsid w:val="0053356C"/>
    <w:rsid w:val="0054076E"/>
    <w:rsid w:val="005434A3"/>
    <w:rsid w:val="00544CF3"/>
    <w:rsid w:val="00544D46"/>
    <w:rsid w:val="005454BD"/>
    <w:rsid w:val="00551846"/>
    <w:rsid w:val="00551A8A"/>
    <w:rsid w:val="0055469A"/>
    <w:rsid w:val="00554B0D"/>
    <w:rsid w:val="005577EA"/>
    <w:rsid w:val="00560ABF"/>
    <w:rsid w:val="0056247B"/>
    <w:rsid w:val="00562498"/>
    <w:rsid w:val="0056293F"/>
    <w:rsid w:val="0056409A"/>
    <w:rsid w:val="00564AA3"/>
    <w:rsid w:val="00570343"/>
    <w:rsid w:val="00575490"/>
    <w:rsid w:val="00580305"/>
    <w:rsid w:val="0058050C"/>
    <w:rsid w:val="00581248"/>
    <w:rsid w:val="00583A49"/>
    <w:rsid w:val="00583DA6"/>
    <w:rsid w:val="00584E33"/>
    <w:rsid w:val="00592999"/>
    <w:rsid w:val="00594C3D"/>
    <w:rsid w:val="00594C85"/>
    <w:rsid w:val="005967A2"/>
    <w:rsid w:val="005A185B"/>
    <w:rsid w:val="005A3029"/>
    <w:rsid w:val="005B2030"/>
    <w:rsid w:val="005C0B72"/>
    <w:rsid w:val="005C23F1"/>
    <w:rsid w:val="005C2A5C"/>
    <w:rsid w:val="005C59F7"/>
    <w:rsid w:val="005D01B6"/>
    <w:rsid w:val="005D100E"/>
    <w:rsid w:val="005D1F52"/>
    <w:rsid w:val="005D3224"/>
    <w:rsid w:val="005D6518"/>
    <w:rsid w:val="005E099E"/>
    <w:rsid w:val="005E3185"/>
    <w:rsid w:val="005E4F61"/>
    <w:rsid w:val="005F1B49"/>
    <w:rsid w:val="005F28A2"/>
    <w:rsid w:val="005F4E7F"/>
    <w:rsid w:val="005F6364"/>
    <w:rsid w:val="005F6C1C"/>
    <w:rsid w:val="005F6EFA"/>
    <w:rsid w:val="00602E87"/>
    <w:rsid w:val="00603105"/>
    <w:rsid w:val="006032BB"/>
    <w:rsid w:val="00605F68"/>
    <w:rsid w:val="006071FE"/>
    <w:rsid w:val="00610852"/>
    <w:rsid w:val="006110D6"/>
    <w:rsid w:val="006159E2"/>
    <w:rsid w:val="00615D3D"/>
    <w:rsid w:val="00617102"/>
    <w:rsid w:val="006219E4"/>
    <w:rsid w:val="0062229A"/>
    <w:rsid w:val="00623D2D"/>
    <w:rsid w:val="0062503D"/>
    <w:rsid w:val="00625D54"/>
    <w:rsid w:val="00627A3D"/>
    <w:rsid w:val="006376F7"/>
    <w:rsid w:val="00640961"/>
    <w:rsid w:val="00640B7C"/>
    <w:rsid w:val="006411B7"/>
    <w:rsid w:val="00643132"/>
    <w:rsid w:val="0065304E"/>
    <w:rsid w:val="00654648"/>
    <w:rsid w:val="006559EA"/>
    <w:rsid w:val="00656A32"/>
    <w:rsid w:val="00661A06"/>
    <w:rsid w:val="006621A5"/>
    <w:rsid w:val="00665473"/>
    <w:rsid w:val="00667DBA"/>
    <w:rsid w:val="00670BA2"/>
    <w:rsid w:val="00671661"/>
    <w:rsid w:val="006721C1"/>
    <w:rsid w:val="006734B8"/>
    <w:rsid w:val="00673CEE"/>
    <w:rsid w:val="00676A7F"/>
    <w:rsid w:val="00677889"/>
    <w:rsid w:val="00685933"/>
    <w:rsid w:val="00685D58"/>
    <w:rsid w:val="0068609E"/>
    <w:rsid w:val="00691391"/>
    <w:rsid w:val="006922AD"/>
    <w:rsid w:val="0069272E"/>
    <w:rsid w:val="00695FF3"/>
    <w:rsid w:val="00696DF5"/>
    <w:rsid w:val="006972D6"/>
    <w:rsid w:val="006A0490"/>
    <w:rsid w:val="006A073F"/>
    <w:rsid w:val="006A277D"/>
    <w:rsid w:val="006A338E"/>
    <w:rsid w:val="006A4E84"/>
    <w:rsid w:val="006A533F"/>
    <w:rsid w:val="006A62EB"/>
    <w:rsid w:val="006B0D95"/>
    <w:rsid w:val="006B47F1"/>
    <w:rsid w:val="006B60BE"/>
    <w:rsid w:val="006C22B3"/>
    <w:rsid w:val="006C2805"/>
    <w:rsid w:val="006C541F"/>
    <w:rsid w:val="006C6009"/>
    <w:rsid w:val="006C743E"/>
    <w:rsid w:val="006D1CC0"/>
    <w:rsid w:val="006D4D19"/>
    <w:rsid w:val="006D74BF"/>
    <w:rsid w:val="006E3AB5"/>
    <w:rsid w:val="006E44D7"/>
    <w:rsid w:val="006E4C98"/>
    <w:rsid w:val="006E5601"/>
    <w:rsid w:val="006F05BF"/>
    <w:rsid w:val="006F32AF"/>
    <w:rsid w:val="006F36C4"/>
    <w:rsid w:val="007038F8"/>
    <w:rsid w:val="00703EE1"/>
    <w:rsid w:val="00704C5B"/>
    <w:rsid w:val="007104BD"/>
    <w:rsid w:val="007120A3"/>
    <w:rsid w:val="007134F0"/>
    <w:rsid w:val="007141FE"/>
    <w:rsid w:val="00714DFC"/>
    <w:rsid w:val="00716D14"/>
    <w:rsid w:val="00717496"/>
    <w:rsid w:val="007174C4"/>
    <w:rsid w:val="00722557"/>
    <w:rsid w:val="0072292A"/>
    <w:rsid w:val="00725716"/>
    <w:rsid w:val="0072733A"/>
    <w:rsid w:val="00730320"/>
    <w:rsid w:val="00731D2F"/>
    <w:rsid w:val="00732847"/>
    <w:rsid w:val="0073334E"/>
    <w:rsid w:val="00734CBF"/>
    <w:rsid w:val="00736A6E"/>
    <w:rsid w:val="0074127B"/>
    <w:rsid w:val="00742381"/>
    <w:rsid w:val="00744746"/>
    <w:rsid w:val="0074693B"/>
    <w:rsid w:val="00754FFD"/>
    <w:rsid w:val="00755C54"/>
    <w:rsid w:val="00756BD7"/>
    <w:rsid w:val="00756EEB"/>
    <w:rsid w:val="00760D14"/>
    <w:rsid w:val="00760D84"/>
    <w:rsid w:val="00762A9D"/>
    <w:rsid w:val="00762EBA"/>
    <w:rsid w:val="00773526"/>
    <w:rsid w:val="007745F2"/>
    <w:rsid w:val="00784914"/>
    <w:rsid w:val="00785280"/>
    <w:rsid w:val="0079170C"/>
    <w:rsid w:val="00791A50"/>
    <w:rsid w:val="0079206C"/>
    <w:rsid w:val="00792A7E"/>
    <w:rsid w:val="00797F74"/>
    <w:rsid w:val="007A055F"/>
    <w:rsid w:val="007A0B6A"/>
    <w:rsid w:val="007A1FBD"/>
    <w:rsid w:val="007A4F53"/>
    <w:rsid w:val="007A6A6E"/>
    <w:rsid w:val="007A7823"/>
    <w:rsid w:val="007B149B"/>
    <w:rsid w:val="007B6F89"/>
    <w:rsid w:val="007C1918"/>
    <w:rsid w:val="007C1CC4"/>
    <w:rsid w:val="007C25E7"/>
    <w:rsid w:val="007C679F"/>
    <w:rsid w:val="007D2AF6"/>
    <w:rsid w:val="007D30E6"/>
    <w:rsid w:val="007D3160"/>
    <w:rsid w:val="007D340C"/>
    <w:rsid w:val="007D6EC5"/>
    <w:rsid w:val="007D755A"/>
    <w:rsid w:val="007E1461"/>
    <w:rsid w:val="007E1D58"/>
    <w:rsid w:val="007E624B"/>
    <w:rsid w:val="007E6515"/>
    <w:rsid w:val="007F073D"/>
    <w:rsid w:val="007F09DC"/>
    <w:rsid w:val="007F105B"/>
    <w:rsid w:val="007F319D"/>
    <w:rsid w:val="007F6C3C"/>
    <w:rsid w:val="007F6D80"/>
    <w:rsid w:val="008001FA"/>
    <w:rsid w:val="00803426"/>
    <w:rsid w:val="00803499"/>
    <w:rsid w:val="00805E00"/>
    <w:rsid w:val="00806436"/>
    <w:rsid w:val="00810CAF"/>
    <w:rsid w:val="00811D7F"/>
    <w:rsid w:val="008137F3"/>
    <w:rsid w:val="00814364"/>
    <w:rsid w:val="00814BE1"/>
    <w:rsid w:val="00820FF6"/>
    <w:rsid w:val="00821B97"/>
    <w:rsid w:val="00823349"/>
    <w:rsid w:val="0082514C"/>
    <w:rsid w:val="0082729C"/>
    <w:rsid w:val="008306B3"/>
    <w:rsid w:val="0083074B"/>
    <w:rsid w:val="008335F4"/>
    <w:rsid w:val="00833FEA"/>
    <w:rsid w:val="0084138D"/>
    <w:rsid w:val="008429D6"/>
    <w:rsid w:val="00846131"/>
    <w:rsid w:val="00850572"/>
    <w:rsid w:val="0085151B"/>
    <w:rsid w:val="008534F5"/>
    <w:rsid w:val="00853D57"/>
    <w:rsid w:val="00854FA6"/>
    <w:rsid w:val="00855D21"/>
    <w:rsid w:val="00856CCF"/>
    <w:rsid w:val="0085753F"/>
    <w:rsid w:val="00857E02"/>
    <w:rsid w:val="00863E52"/>
    <w:rsid w:val="008644D0"/>
    <w:rsid w:val="00866E72"/>
    <w:rsid w:val="00871883"/>
    <w:rsid w:val="00875736"/>
    <w:rsid w:val="008832F8"/>
    <w:rsid w:val="00883FF4"/>
    <w:rsid w:val="008856C4"/>
    <w:rsid w:val="00887ADD"/>
    <w:rsid w:val="00890EC3"/>
    <w:rsid w:val="008918D3"/>
    <w:rsid w:val="00893746"/>
    <w:rsid w:val="00895EAB"/>
    <w:rsid w:val="00897A35"/>
    <w:rsid w:val="008A0536"/>
    <w:rsid w:val="008A1BA1"/>
    <w:rsid w:val="008A3FEF"/>
    <w:rsid w:val="008A545D"/>
    <w:rsid w:val="008A5C91"/>
    <w:rsid w:val="008A626E"/>
    <w:rsid w:val="008A68C9"/>
    <w:rsid w:val="008A6CCE"/>
    <w:rsid w:val="008A7881"/>
    <w:rsid w:val="008B0FBC"/>
    <w:rsid w:val="008B3E4E"/>
    <w:rsid w:val="008B4C3E"/>
    <w:rsid w:val="008B4C93"/>
    <w:rsid w:val="008C0E31"/>
    <w:rsid w:val="008C20BB"/>
    <w:rsid w:val="008C2354"/>
    <w:rsid w:val="008C35E6"/>
    <w:rsid w:val="008C4B76"/>
    <w:rsid w:val="008C6F49"/>
    <w:rsid w:val="008D692E"/>
    <w:rsid w:val="008D6B4E"/>
    <w:rsid w:val="008E6EE8"/>
    <w:rsid w:val="008F1116"/>
    <w:rsid w:val="008F1290"/>
    <w:rsid w:val="008F3BB0"/>
    <w:rsid w:val="008F6A2B"/>
    <w:rsid w:val="00901360"/>
    <w:rsid w:val="009059AF"/>
    <w:rsid w:val="0091067B"/>
    <w:rsid w:val="00916674"/>
    <w:rsid w:val="00916E87"/>
    <w:rsid w:val="009170D1"/>
    <w:rsid w:val="00920391"/>
    <w:rsid w:val="00924EB3"/>
    <w:rsid w:val="0092620C"/>
    <w:rsid w:val="0092666A"/>
    <w:rsid w:val="00927303"/>
    <w:rsid w:val="0093044A"/>
    <w:rsid w:val="009350AD"/>
    <w:rsid w:val="009369C1"/>
    <w:rsid w:val="00937358"/>
    <w:rsid w:val="009408AA"/>
    <w:rsid w:val="00940971"/>
    <w:rsid w:val="009428A8"/>
    <w:rsid w:val="0094482A"/>
    <w:rsid w:val="00944AEF"/>
    <w:rsid w:val="009461AD"/>
    <w:rsid w:val="009512A0"/>
    <w:rsid w:val="009533BC"/>
    <w:rsid w:val="009554E4"/>
    <w:rsid w:val="00962F3C"/>
    <w:rsid w:val="00963691"/>
    <w:rsid w:val="00963CB3"/>
    <w:rsid w:val="00967F91"/>
    <w:rsid w:val="00970EF6"/>
    <w:rsid w:val="00972F31"/>
    <w:rsid w:val="00974BC4"/>
    <w:rsid w:val="009777FD"/>
    <w:rsid w:val="00985F68"/>
    <w:rsid w:val="00986B0D"/>
    <w:rsid w:val="00990AB9"/>
    <w:rsid w:val="0099152F"/>
    <w:rsid w:val="00992CB8"/>
    <w:rsid w:val="00994FA8"/>
    <w:rsid w:val="00997444"/>
    <w:rsid w:val="009A5514"/>
    <w:rsid w:val="009A57DE"/>
    <w:rsid w:val="009A758F"/>
    <w:rsid w:val="009B07DA"/>
    <w:rsid w:val="009B368B"/>
    <w:rsid w:val="009B398A"/>
    <w:rsid w:val="009B58DF"/>
    <w:rsid w:val="009B7271"/>
    <w:rsid w:val="009C1D80"/>
    <w:rsid w:val="009C42E0"/>
    <w:rsid w:val="009C4A80"/>
    <w:rsid w:val="009C57DD"/>
    <w:rsid w:val="009D0934"/>
    <w:rsid w:val="009D24B7"/>
    <w:rsid w:val="009D3886"/>
    <w:rsid w:val="009D39AE"/>
    <w:rsid w:val="009D536D"/>
    <w:rsid w:val="009D742E"/>
    <w:rsid w:val="009E26EC"/>
    <w:rsid w:val="009E7D8F"/>
    <w:rsid w:val="009F2D76"/>
    <w:rsid w:val="009F4593"/>
    <w:rsid w:val="009F5B5F"/>
    <w:rsid w:val="00A0125D"/>
    <w:rsid w:val="00A02425"/>
    <w:rsid w:val="00A0422E"/>
    <w:rsid w:val="00A0564B"/>
    <w:rsid w:val="00A0593D"/>
    <w:rsid w:val="00A11226"/>
    <w:rsid w:val="00A1201A"/>
    <w:rsid w:val="00A21511"/>
    <w:rsid w:val="00A21C73"/>
    <w:rsid w:val="00A2561B"/>
    <w:rsid w:val="00A2613E"/>
    <w:rsid w:val="00A26818"/>
    <w:rsid w:val="00A277E3"/>
    <w:rsid w:val="00A30BD0"/>
    <w:rsid w:val="00A3197B"/>
    <w:rsid w:val="00A3255A"/>
    <w:rsid w:val="00A32C10"/>
    <w:rsid w:val="00A34279"/>
    <w:rsid w:val="00A36F9D"/>
    <w:rsid w:val="00A420C9"/>
    <w:rsid w:val="00A4247D"/>
    <w:rsid w:val="00A4455B"/>
    <w:rsid w:val="00A45910"/>
    <w:rsid w:val="00A46D1A"/>
    <w:rsid w:val="00A4741C"/>
    <w:rsid w:val="00A5675E"/>
    <w:rsid w:val="00A5788D"/>
    <w:rsid w:val="00A60695"/>
    <w:rsid w:val="00A62611"/>
    <w:rsid w:val="00A64275"/>
    <w:rsid w:val="00A668E5"/>
    <w:rsid w:val="00A67C0B"/>
    <w:rsid w:val="00A70AA3"/>
    <w:rsid w:val="00A70F0B"/>
    <w:rsid w:val="00A71388"/>
    <w:rsid w:val="00A736FC"/>
    <w:rsid w:val="00A8103C"/>
    <w:rsid w:val="00A843B4"/>
    <w:rsid w:val="00A86FAA"/>
    <w:rsid w:val="00A87546"/>
    <w:rsid w:val="00A87850"/>
    <w:rsid w:val="00A905A9"/>
    <w:rsid w:val="00A90640"/>
    <w:rsid w:val="00A92D30"/>
    <w:rsid w:val="00A95C71"/>
    <w:rsid w:val="00A95F3D"/>
    <w:rsid w:val="00A9630B"/>
    <w:rsid w:val="00A96521"/>
    <w:rsid w:val="00A979E1"/>
    <w:rsid w:val="00AA0337"/>
    <w:rsid w:val="00AA21CC"/>
    <w:rsid w:val="00AA6D95"/>
    <w:rsid w:val="00AA7B67"/>
    <w:rsid w:val="00AA7F59"/>
    <w:rsid w:val="00AB0526"/>
    <w:rsid w:val="00AB704B"/>
    <w:rsid w:val="00AB7C76"/>
    <w:rsid w:val="00AC152E"/>
    <w:rsid w:val="00AC16C2"/>
    <w:rsid w:val="00AC4286"/>
    <w:rsid w:val="00AC5135"/>
    <w:rsid w:val="00AC5C4E"/>
    <w:rsid w:val="00AD0485"/>
    <w:rsid w:val="00AD54A9"/>
    <w:rsid w:val="00AD6097"/>
    <w:rsid w:val="00AD79E9"/>
    <w:rsid w:val="00AD7C32"/>
    <w:rsid w:val="00AE23E9"/>
    <w:rsid w:val="00AE2AB0"/>
    <w:rsid w:val="00AE54CD"/>
    <w:rsid w:val="00AE6797"/>
    <w:rsid w:val="00AE7CDF"/>
    <w:rsid w:val="00AE7DD7"/>
    <w:rsid w:val="00AF20B3"/>
    <w:rsid w:val="00AF3F1F"/>
    <w:rsid w:val="00AF463B"/>
    <w:rsid w:val="00AF49BB"/>
    <w:rsid w:val="00AF5BA2"/>
    <w:rsid w:val="00AF7E53"/>
    <w:rsid w:val="00B00147"/>
    <w:rsid w:val="00B03206"/>
    <w:rsid w:val="00B04A78"/>
    <w:rsid w:val="00B0777F"/>
    <w:rsid w:val="00B103D2"/>
    <w:rsid w:val="00B12DB2"/>
    <w:rsid w:val="00B201CB"/>
    <w:rsid w:val="00B20B63"/>
    <w:rsid w:val="00B24AB6"/>
    <w:rsid w:val="00B327F4"/>
    <w:rsid w:val="00B32CEF"/>
    <w:rsid w:val="00B34A75"/>
    <w:rsid w:val="00B3565B"/>
    <w:rsid w:val="00B35BF9"/>
    <w:rsid w:val="00B36A45"/>
    <w:rsid w:val="00B41B43"/>
    <w:rsid w:val="00B41EDE"/>
    <w:rsid w:val="00B421D4"/>
    <w:rsid w:val="00B45731"/>
    <w:rsid w:val="00B45CAF"/>
    <w:rsid w:val="00B50E9C"/>
    <w:rsid w:val="00B51525"/>
    <w:rsid w:val="00B5235D"/>
    <w:rsid w:val="00B53950"/>
    <w:rsid w:val="00B54103"/>
    <w:rsid w:val="00B56FF9"/>
    <w:rsid w:val="00B577B4"/>
    <w:rsid w:val="00B6003C"/>
    <w:rsid w:val="00B63A67"/>
    <w:rsid w:val="00B77CBE"/>
    <w:rsid w:val="00B81587"/>
    <w:rsid w:val="00B86886"/>
    <w:rsid w:val="00B87461"/>
    <w:rsid w:val="00B91EC8"/>
    <w:rsid w:val="00B969EC"/>
    <w:rsid w:val="00B97731"/>
    <w:rsid w:val="00BA2C06"/>
    <w:rsid w:val="00BA5CAB"/>
    <w:rsid w:val="00BB040A"/>
    <w:rsid w:val="00BB12A4"/>
    <w:rsid w:val="00BB1653"/>
    <w:rsid w:val="00BB2A25"/>
    <w:rsid w:val="00BB3306"/>
    <w:rsid w:val="00BB4B42"/>
    <w:rsid w:val="00BB4C95"/>
    <w:rsid w:val="00BB6712"/>
    <w:rsid w:val="00BC0201"/>
    <w:rsid w:val="00BC1F06"/>
    <w:rsid w:val="00BC2EA5"/>
    <w:rsid w:val="00BC353D"/>
    <w:rsid w:val="00BC4A78"/>
    <w:rsid w:val="00BC5266"/>
    <w:rsid w:val="00BC6424"/>
    <w:rsid w:val="00BD0796"/>
    <w:rsid w:val="00BD4995"/>
    <w:rsid w:val="00BD6966"/>
    <w:rsid w:val="00BE160C"/>
    <w:rsid w:val="00BE21BF"/>
    <w:rsid w:val="00BE2227"/>
    <w:rsid w:val="00BE3FED"/>
    <w:rsid w:val="00BF08EC"/>
    <w:rsid w:val="00BF5139"/>
    <w:rsid w:val="00BF6C06"/>
    <w:rsid w:val="00C02B9B"/>
    <w:rsid w:val="00C06EE7"/>
    <w:rsid w:val="00C11C9E"/>
    <w:rsid w:val="00C11FDB"/>
    <w:rsid w:val="00C13B11"/>
    <w:rsid w:val="00C13C23"/>
    <w:rsid w:val="00C1499A"/>
    <w:rsid w:val="00C16952"/>
    <w:rsid w:val="00C1753C"/>
    <w:rsid w:val="00C20D47"/>
    <w:rsid w:val="00C24780"/>
    <w:rsid w:val="00C25A2A"/>
    <w:rsid w:val="00C25F87"/>
    <w:rsid w:val="00C30757"/>
    <w:rsid w:val="00C311DA"/>
    <w:rsid w:val="00C31814"/>
    <w:rsid w:val="00C33033"/>
    <w:rsid w:val="00C350BB"/>
    <w:rsid w:val="00C36FB0"/>
    <w:rsid w:val="00C3726A"/>
    <w:rsid w:val="00C4410B"/>
    <w:rsid w:val="00C462EE"/>
    <w:rsid w:val="00C46821"/>
    <w:rsid w:val="00C475D3"/>
    <w:rsid w:val="00C50C36"/>
    <w:rsid w:val="00C51920"/>
    <w:rsid w:val="00C523C6"/>
    <w:rsid w:val="00C542E5"/>
    <w:rsid w:val="00C55E37"/>
    <w:rsid w:val="00C571F8"/>
    <w:rsid w:val="00C61F4B"/>
    <w:rsid w:val="00C624AA"/>
    <w:rsid w:val="00C6271E"/>
    <w:rsid w:val="00C6510B"/>
    <w:rsid w:val="00C72233"/>
    <w:rsid w:val="00C7242E"/>
    <w:rsid w:val="00C73EB2"/>
    <w:rsid w:val="00C74223"/>
    <w:rsid w:val="00C7426F"/>
    <w:rsid w:val="00C76B84"/>
    <w:rsid w:val="00C802CA"/>
    <w:rsid w:val="00C804FF"/>
    <w:rsid w:val="00C82CCA"/>
    <w:rsid w:val="00C84D33"/>
    <w:rsid w:val="00C86B3A"/>
    <w:rsid w:val="00C87F5D"/>
    <w:rsid w:val="00C90E6D"/>
    <w:rsid w:val="00C92DEF"/>
    <w:rsid w:val="00C931B4"/>
    <w:rsid w:val="00C94068"/>
    <w:rsid w:val="00C9486C"/>
    <w:rsid w:val="00C95DD9"/>
    <w:rsid w:val="00CA2B9D"/>
    <w:rsid w:val="00CA623C"/>
    <w:rsid w:val="00CA79C1"/>
    <w:rsid w:val="00CA7A7B"/>
    <w:rsid w:val="00CB1614"/>
    <w:rsid w:val="00CB3816"/>
    <w:rsid w:val="00CB4127"/>
    <w:rsid w:val="00CB569C"/>
    <w:rsid w:val="00CB724C"/>
    <w:rsid w:val="00CC1CE8"/>
    <w:rsid w:val="00CC1CEC"/>
    <w:rsid w:val="00CC318A"/>
    <w:rsid w:val="00CC5710"/>
    <w:rsid w:val="00CC5C1B"/>
    <w:rsid w:val="00CC5FDE"/>
    <w:rsid w:val="00CC7C3C"/>
    <w:rsid w:val="00CC7CF8"/>
    <w:rsid w:val="00CD1E98"/>
    <w:rsid w:val="00CD3741"/>
    <w:rsid w:val="00CD56FC"/>
    <w:rsid w:val="00CD7640"/>
    <w:rsid w:val="00CE10AA"/>
    <w:rsid w:val="00CE1720"/>
    <w:rsid w:val="00CE44D6"/>
    <w:rsid w:val="00CE540E"/>
    <w:rsid w:val="00CE72FB"/>
    <w:rsid w:val="00CF4B62"/>
    <w:rsid w:val="00D02320"/>
    <w:rsid w:val="00D02D5E"/>
    <w:rsid w:val="00D0325F"/>
    <w:rsid w:val="00D0564D"/>
    <w:rsid w:val="00D0625F"/>
    <w:rsid w:val="00D06A4D"/>
    <w:rsid w:val="00D22234"/>
    <w:rsid w:val="00D32CA0"/>
    <w:rsid w:val="00D34AAF"/>
    <w:rsid w:val="00D3717C"/>
    <w:rsid w:val="00D37272"/>
    <w:rsid w:val="00D37AC1"/>
    <w:rsid w:val="00D40D96"/>
    <w:rsid w:val="00D44C0D"/>
    <w:rsid w:val="00D4536E"/>
    <w:rsid w:val="00D45652"/>
    <w:rsid w:val="00D52478"/>
    <w:rsid w:val="00D56844"/>
    <w:rsid w:val="00D57AE7"/>
    <w:rsid w:val="00D60861"/>
    <w:rsid w:val="00D619E2"/>
    <w:rsid w:val="00D624B2"/>
    <w:rsid w:val="00D62E21"/>
    <w:rsid w:val="00D641A7"/>
    <w:rsid w:val="00D678D5"/>
    <w:rsid w:val="00D710F5"/>
    <w:rsid w:val="00D72958"/>
    <w:rsid w:val="00D75837"/>
    <w:rsid w:val="00D7583D"/>
    <w:rsid w:val="00D76B0D"/>
    <w:rsid w:val="00D81F9E"/>
    <w:rsid w:val="00D83C64"/>
    <w:rsid w:val="00D85CE8"/>
    <w:rsid w:val="00D87F7B"/>
    <w:rsid w:val="00D9545A"/>
    <w:rsid w:val="00DA1427"/>
    <w:rsid w:val="00DA23C6"/>
    <w:rsid w:val="00DA2D47"/>
    <w:rsid w:val="00DA4F5B"/>
    <w:rsid w:val="00DA7FBE"/>
    <w:rsid w:val="00DB072B"/>
    <w:rsid w:val="00DB282F"/>
    <w:rsid w:val="00DB6A35"/>
    <w:rsid w:val="00DC1200"/>
    <w:rsid w:val="00DC1308"/>
    <w:rsid w:val="00DC6B15"/>
    <w:rsid w:val="00DD0DC6"/>
    <w:rsid w:val="00DD38F9"/>
    <w:rsid w:val="00DD58D6"/>
    <w:rsid w:val="00DD660C"/>
    <w:rsid w:val="00DD729E"/>
    <w:rsid w:val="00DE02B7"/>
    <w:rsid w:val="00DE2A23"/>
    <w:rsid w:val="00DE2C02"/>
    <w:rsid w:val="00DE3217"/>
    <w:rsid w:val="00DE5370"/>
    <w:rsid w:val="00DE643F"/>
    <w:rsid w:val="00DE657F"/>
    <w:rsid w:val="00DE66D6"/>
    <w:rsid w:val="00DF4B69"/>
    <w:rsid w:val="00DF6CD4"/>
    <w:rsid w:val="00DF74E4"/>
    <w:rsid w:val="00E03D35"/>
    <w:rsid w:val="00E06648"/>
    <w:rsid w:val="00E06CA8"/>
    <w:rsid w:val="00E1054D"/>
    <w:rsid w:val="00E115B3"/>
    <w:rsid w:val="00E16299"/>
    <w:rsid w:val="00E1758E"/>
    <w:rsid w:val="00E178BB"/>
    <w:rsid w:val="00E212A9"/>
    <w:rsid w:val="00E21B7C"/>
    <w:rsid w:val="00E21E51"/>
    <w:rsid w:val="00E24C2A"/>
    <w:rsid w:val="00E26F34"/>
    <w:rsid w:val="00E326D8"/>
    <w:rsid w:val="00E33CCB"/>
    <w:rsid w:val="00E35F4D"/>
    <w:rsid w:val="00E360FE"/>
    <w:rsid w:val="00E36DD5"/>
    <w:rsid w:val="00E36F7C"/>
    <w:rsid w:val="00E400CA"/>
    <w:rsid w:val="00E40F3F"/>
    <w:rsid w:val="00E42FD7"/>
    <w:rsid w:val="00E44526"/>
    <w:rsid w:val="00E46E7A"/>
    <w:rsid w:val="00E52724"/>
    <w:rsid w:val="00E52C51"/>
    <w:rsid w:val="00E533EC"/>
    <w:rsid w:val="00E54311"/>
    <w:rsid w:val="00E55834"/>
    <w:rsid w:val="00E567D7"/>
    <w:rsid w:val="00E6084B"/>
    <w:rsid w:val="00E61F4E"/>
    <w:rsid w:val="00E627A6"/>
    <w:rsid w:val="00E62FB3"/>
    <w:rsid w:val="00E643F0"/>
    <w:rsid w:val="00E675A9"/>
    <w:rsid w:val="00E678BA"/>
    <w:rsid w:val="00E67B14"/>
    <w:rsid w:val="00E73084"/>
    <w:rsid w:val="00E74812"/>
    <w:rsid w:val="00E77314"/>
    <w:rsid w:val="00E871E9"/>
    <w:rsid w:val="00E87EAE"/>
    <w:rsid w:val="00E91434"/>
    <w:rsid w:val="00E93E5F"/>
    <w:rsid w:val="00E947A9"/>
    <w:rsid w:val="00EA0810"/>
    <w:rsid w:val="00EA2334"/>
    <w:rsid w:val="00EA60A8"/>
    <w:rsid w:val="00EA6134"/>
    <w:rsid w:val="00EB0947"/>
    <w:rsid w:val="00EB1B27"/>
    <w:rsid w:val="00EB258A"/>
    <w:rsid w:val="00EB406A"/>
    <w:rsid w:val="00EB5F3C"/>
    <w:rsid w:val="00EB5F98"/>
    <w:rsid w:val="00EB7E2C"/>
    <w:rsid w:val="00EC2027"/>
    <w:rsid w:val="00EC20FA"/>
    <w:rsid w:val="00ED3535"/>
    <w:rsid w:val="00ED5B0A"/>
    <w:rsid w:val="00ED64A0"/>
    <w:rsid w:val="00ED68F2"/>
    <w:rsid w:val="00ED6A43"/>
    <w:rsid w:val="00EE0BDA"/>
    <w:rsid w:val="00EE0C41"/>
    <w:rsid w:val="00EE214A"/>
    <w:rsid w:val="00EF08B8"/>
    <w:rsid w:val="00EF0C57"/>
    <w:rsid w:val="00EF11A4"/>
    <w:rsid w:val="00EF166A"/>
    <w:rsid w:val="00EF4B3A"/>
    <w:rsid w:val="00EF5737"/>
    <w:rsid w:val="00EF5B7D"/>
    <w:rsid w:val="00EF622B"/>
    <w:rsid w:val="00EF64B0"/>
    <w:rsid w:val="00EF651A"/>
    <w:rsid w:val="00EF7900"/>
    <w:rsid w:val="00F02CFE"/>
    <w:rsid w:val="00F1059A"/>
    <w:rsid w:val="00F11C16"/>
    <w:rsid w:val="00F207EE"/>
    <w:rsid w:val="00F23EB8"/>
    <w:rsid w:val="00F24DBD"/>
    <w:rsid w:val="00F252C6"/>
    <w:rsid w:val="00F30AC0"/>
    <w:rsid w:val="00F311F3"/>
    <w:rsid w:val="00F361E9"/>
    <w:rsid w:val="00F36FB0"/>
    <w:rsid w:val="00F37FF3"/>
    <w:rsid w:val="00F42EDD"/>
    <w:rsid w:val="00F43BC9"/>
    <w:rsid w:val="00F45F17"/>
    <w:rsid w:val="00F46201"/>
    <w:rsid w:val="00F477C5"/>
    <w:rsid w:val="00F51755"/>
    <w:rsid w:val="00F51DCA"/>
    <w:rsid w:val="00F52C55"/>
    <w:rsid w:val="00F5604D"/>
    <w:rsid w:val="00F56319"/>
    <w:rsid w:val="00F57E30"/>
    <w:rsid w:val="00F60B6F"/>
    <w:rsid w:val="00F61B04"/>
    <w:rsid w:val="00F61DAF"/>
    <w:rsid w:val="00F63F74"/>
    <w:rsid w:val="00F656AF"/>
    <w:rsid w:val="00F6579B"/>
    <w:rsid w:val="00F65FCC"/>
    <w:rsid w:val="00F66F09"/>
    <w:rsid w:val="00F713CF"/>
    <w:rsid w:val="00F72B5E"/>
    <w:rsid w:val="00F73C9E"/>
    <w:rsid w:val="00F75D27"/>
    <w:rsid w:val="00F77739"/>
    <w:rsid w:val="00F77F98"/>
    <w:rsid w:val="00F817B5"/>
    <w:rsid w:val="00F81FB3"/>
    <w:rsid w:val="00F846B7"/>
    <w:rsid w:val="00F90A9D"/>
    <w:rsid w:val="00F9236A"/>
    <w:rsid w:val="00F944D5"/>
    <w:rsid w:val="00F95C7C"/>
    <w:rsid w:val="00F96836"/>
    <w:rsid w:val="00F97528"/>
    <w:rsid w:val="00F97BD9"/>
    <w:rsid w:val="00F97CF1"/>
    <w:rsid w:val="00FA06F4"/>
    <w:rsid w:val="00FA49DF"/>
    <w:rsid w:val="00FA63E1"/>
    <w:rsid w:val="00FA7491"/>
    <w:rsid w:val="00FB1062"/>
    <w:rsid w:val="00FB15CB"/>
    <w:rsid w:val="00FB544F"/>
    <w:rsid w:val="00FB7850"/>
    <w:rsid w:val="00FC099A"/>
    <w:rsid w:val="00FC7EAB"/>
    <w:rsid w:val="00FD56C2"/>
    <w:rsid w:val="00FD676E"/>
    <w:rsid w:val="00FE0167"/>
    <w:rsid w:val="00FE5F6E"/>
    <w:rsid w:val="00FE63A3"/>
    <w:rsid w:val="00FE63BC"/>
    <w:rsid w:val="00FE7ED5"/>
    <w:rsid w:val="00FF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FE445"/>
  <w15:chartTrackingRefBased/>
  <w15:docId w15:val="{D145D78D-5EFB-4971-AF20-2E7CA571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PT Book" w:eastAsia="Futura Bk BT" w:hAnsi="Futura PT Book"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F4E"/>
    <w:pPr>
      <w:spacing w:after="120" w:line="300" w:lineRule="exact"/>
    </w:pPr>
    <w:rPr>
      <w:sz w:val="24"/>
      <w:szCs w:val="24"/>
    </w:rPr>
  </w:style>
  <w:style w:type="paragraph" w:styleId="Heading1">
    <w:name w:val="heading 1"/>
    <w:basedOn w:val="Normal"/>
    <w:next w:val="Normal"/>
    <w:link w:val="Heading1Char"/>
    <w:uiPriority w:val="9"/>
    <w:qFormat/>
    <w:rsid w:val="005A185B"/>
    <w:pPr>
      <w:keepNext/>
      <w:keepLines/>
      <w:spacing w:before="480" w:line="520" w:lineRule="exact"/>
      <w:outlineLvl w:val="0"/>
    </w:pPr>
    <w:rPr>
      <w:rFonts w:ascii="FUTURA HEAVY BT" w:eastAsia="Times New Roman" w:hAnsi="FUTURA HEAVY BT"/>
      <w:b/>
      <w:bCs/>
      <w:color w:val="2773A3"/>
      <w:kern w:val="2"/>
      <w:sz w:val="36"/>
      <w:szCs w:val="36"/>
    </w:rPr>
  </w:style>
  <w:style w:type="paragraph" w:styleId="Heading2">
    <w:name w:val="heading 2"/>
    <w:basedOn w:val="Normal"/>
    <w:next w:val="Normal"/>
    <w:link w:val="Heading2Char"/>
    <w:uiPriority w:val="9"/>
    <w:unhideWhenUsed/>
    <w:qFormat/>
    <w:rsid w:val="0039349B"/>
    <w:pPr>
      <w:keepNext/>
      <w:keepLines/>
      <w:spacing w:before="120" w:after="40" w:line="360" w:lineRule="exact"/>
      <w:outlineLvl w:val="1"/>
    </w:pPr>
    <w:rPr>
      <w:rFonts w:ascii="FUTURA HEAVY BT" w:eastAsia="Times New Roman" w:hAnsi="FUTURA HEAVY BT" w:cs="Futura Bk BT"/>
      <w:b/>
      <w:bCs/>
      <w:color w:val="3C6D58"/>
      <w:kern w:val="2"/>
      <w:sz w:val="28"/>
      <w:szCs w:val="28"/>
    </w:rPr>
  </w:style>
  <w:style w:type="paragraph" w:styleId="Heading3">
    <w:name w:val="heading 3"/>
    <w:basedOn w:val="Normal"/>
    <w:next w:val="Normal"/>
    <w:link w:val="Heading3Char"/>
    <w:uiPriority w:val="9"/>
    <w:unhideWhenUsed/>
    <w:qFormat/>
    <w:rsid w:val="008F1290"/>
    <w:pPr>
      <w:keepNext/>
      <w:keepLines/>
      <w:spacing w:before="120" w:after="40" w:line="320" w:lineRule="exact"/>
      <w:outlineLvl w:val="2"/>
    </w:pPr>
    <w:rPr>
      <w:rFonts w:ascii="FUTURA HEAVY ITALIC BT" w:eastAsia="Times New Roman" w:hAnsi="FUTURA HEAVY ITALIC BT" w:cs="Calibri"/>
      <w:b/>
      <w:bCs/>
      <w:color w:val="2773A3"/>
      <w:kern w:val="2"/>
    </w:rPr>
  </w:style>
  <w:style w:type="paragraph" w:styleId="Heading4">
    <w:name w:val="heading 4"/>
    <w:basedOn w:val="Normal"/>
    <w:next w:val="Normal"/>
    <w:link w:val="Heading4Char"/>
    <w:uiPriority w:val="9"/>
    <w:unhideWhenUsed/>
    <w:qFormat/>
    <w:rsid w:val="00E61F4E"/>
    <w:pPr>
      <w:keepNext/>
      <w:keepLines/>
      <w:spacing w:before="120" w:after="40" w:line="280" w:lineRule="exact"/>
      <w:outlineLvl w:val="3"/>
    </w:pPr>
    <w:rPr>
      <w:rFonts w:ascii="FUTURA HEAVY BT" w:eastAsia="Times New Roman" w:hAnsi="FUTURA HEAVY BT" w:cs="Times New Roman"/>
      <w:b/>
      <w:bCs/>
      <w:color w:val="9F501B"/>
    </w:rPr>
  </w:style>
  <w:style w:type="paragraph" w:styleId="Heading5">
    <w:name w:val="heading 5"/>
    <w:basedOn w:val="Normal"/>
    <w:next w:val="Normal"/>
    <w:link w:val="Heading5Char"/>
    <w:uiPriority w:val="9"/>
    <w:semiHidden/>
    <w:unhideWhenUsed/>
    <w:qFormat/>
    <w:rsid w:val="00FD676E"/>
    <w:pPr>
      <w:keepNext/>
      <w:keepLines/>
      <w:spacing w:before="40" w:after="0" w:line="280" w:lineRule="exact"/>
      <w:outlineLvl w:val="4"/>
    </w:pPr>
    <w:rPr>
      <w:rFonts w:asciiTheme="majorHAnsi" w:eastAsiaTheme="majorEastAsia" w:hAnsiTheme="majorHAnsi" w:cstheme="majorBidi"/>
      <w:color w:val="1D5579" w:themeColor="accent1" w:themeShade="BF"/>
    </w:rPr>
  </w:style>
  <w:style w:type="paragraph" w:styleId="Heading6">
    <w:name w:val="heading 6"/>
    <w:basedOn w:val="Normal"/>
    <w:next w:val="Normal"/>
    <w:link w:val="Heading6Char"/>
    <w:uiPriority w:val="9"/>
    <w:semiHidden/>
    <w:unhideWhenUsed/>
    <w:qFormat/>
    <w:rsid w:val="00FD676E"/>
    <w:pPr>
      <w:keepNext/>
      <w:keepLines/>
      <w:spacing w:before="40" w:after="0" w:line="280" w:lineRule="exact"/>
      <w:outlineLvl w:val="5"/>
    </w:pPr>
    <w:rPr>
      <w:rFonts w:asciiTheme="majorHAnsi" w:eastAsiaTheme="majorEastAsia" w:hAnsiTheme="majorHAnsi" w:cstheme="majorBidi"/>
      <w:color w:val="133950" w:themeColor="accent1" w:themeShade="7F"/>
    </w:rPr>
  </w:style>
  <w:style w:type="paragraph" w:styleId="Heading7">
    <w:name w:val="heading 7"/>
    <w:basedOn w:val="Normal"/>
    <w:next w:val="Normal"/>
    <w:link w:val="Heading7Char"/>
    <w:uiPriority w:val="9"/>
    <w:semiHidden/>
    <w:unhideWhenUsed/>
    <w:qFormat/>
    <w:rsid w:val="00FD676E"/>
    <w:pPr>
      <w:keepNext/>
      <w:keepLines/>
      <w:spacing w:before="40" w:after="0" w:line="280" w:lineRule="exact"/>
      <w:outlineLvl w:val="6"/>
    </w:pPr>
    <w:rPr>
      <w:rFonts w:asciiTheme="majorHAnsi" w:eastAsiaTheme="majorEastAsia" w:hAnsiTheme="majorHAnsi" w:cstheme="majorBidi"/>
      <w:i/>
      <w:iCs/>
      <w:color w:val="133950" w:themeColor="accent1" w:themeShade="7F"/>
    </w:rPr>
  </w:style>
  <w:style w:type="paragraph" w:styleId="Heading8">
    <w:name w:val="heading 8"/>
    <w:basedOn w:val="Normal"/>
    <w:next w:val="Normal"/>
    <w:link w:val="Heading8Char"/>
    <w:uiPriority w:val="9"/>
    <w:semiHidden/>
    <w:unhideWhenUsed/>
    <w:qFormat/>
    <w:rsid w:val="00FD676E"/>
    <w:pPr>
      <w:keepNext/>
      <w:keepLines/>
      <w:spacing w:before="40" w:after="0" w:line="280" w:lineRule="exac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76E"/>
    <w:pPr>
      <w:keepNext/>
      <w:keepLines/>
      <w:spacing w:before="40" w:after="0" w:line="280" w:lineRule="exac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ullet">
    <w:name w:val="Body Bullet"/>
    <w:basedOn w:val="ListBullet"/>
    <w:rsid w:val="00F45F17"/>
    <w:rPr>
      <w:color w:val="42454E"/>
    </w:rPr>
  </w:style>
  <w:style w:type="paragraph" w:styleId="BodyText">
    <w:name w:val="Body Text"/>
    <w:basedOn w:val="Normal"/>
    <w:link w:val="BodyTextChar"/>
    <w:uiPriority w:val="99"/>
    <w:semiHidden/>
    <w:unhideWhenUsed/>
    <w:rsid w:val="00676A7F"/>
    <w:rPr>
      <w:color w:val="AEAAAA"/>
    </w:rPr>
  </w:style>
  <w:style w:type="character" w:customStyle="1" w:styleId="BodyTextChar">
    <w:name w:val="Body Text Char"/>
    <w:basedOn w:val="DefaultParagraphFont"/>
    <w:link w:val="BodyText"/>
    <w:uiPriority w:val="99"/>
    <w:semiHidden/>
    <w:rsid w:val="00676A7F"/>
  </w:style>
  <w:style w:type="paragraph" w:styleId="ListBullet">
    <w:name w:val="List Bullet"/>
    <w:basedOn w:val="Normal"/>
    <w:uiPriority w:val="99"/>
    <w:unhideWhenUsed/>
    <w:qFormat/>
    <w:rsid w:val="006376F7"/>
    <w:pPr>
      <w:numPr>
        <w:numId w:val="5"/>
      </w:numPr>
      <w:tabs>
        <w:tab w:val="left" w:pos="180"/>
      </w:tabs>
      <w:snapToGrid w:val="0"/>
      <w:spacing w:after="160"/>
      <w:contextualSpacing/>
    </w:pPr>
  </w:style>
  <w:style w:type="paragraph" w:styleId="Title">
    <w:name w:val="Title"/>
    <w:aliases w:val="Project (Cover)"/>
    <w:basedOn w:val="Normal"/>
    <w:next w:val="Normal"/>
    <w:link w:val="TitleChar"/>
    <w:uiPriority w:val="10"/>
    <w:qFormat/>
    <w:rsid w:val="00625D54"/>
    <w:pPr>
      <w:spacing w:after="0" w:line="240" w:lineRule="auto"/>
      <w:contextualSpacing/>
    </w:pPr>
    <w:rPr>
      <w:rFonts w:ascii="FUTURA HEAVY BT" w:eastAsia="Times New Roman" w:hAnsi="FUTURA HEAVY BT" w:cs="Futura Bk BT"/>
      <w:b/>
      <w:bCs/>
      <w:color w:val="2773A3"/>
      <w:spacing w:val="-10"/>
      <w:kern w:val="28"/>
      <w:sz w:val="56"/>
      <w:szCs w:val="56"/>
    </w:rPr>
  </w:style>
  <w:style w:type="character" w:customStyle="1" w:styleId="TitleChar">
    <w:name w:val="Title Char"/>
    <w:aliases w:val="Project (Cover) Char"/>
    <w:link w:val="Title"/>
    <w:uiPriority w:val="10"/>
    <w:rsid w:val="00625D54"/>
    <w:rPr>
      <w:rFonts w:ascii="FUTURA HEAVY BT" w:eastAsia="Times New Roman" w:hAnsi="FUTURA HEAVY BT" w:cs="Futura Bk BT"/>
      <w:b/>
      <w:bCs/>
      <w:color w:val="2773A3"/>
      <w:spacing w:val="-10"/>
      <w:kern w:val="28"/>
      <w:sz w:val="56"/>
      <w:szCs w:val="56"/>
    </w:rPr>
  </w:style>
  <w:style w:type="character" w:customStyle="1" w:styleId="Heading1Char">
    <w:name w:val="Heading 1 Char"/>
    <w:link w:val="Heading1"/>
    <w:uiPriority w:val="9"/>
    <w:rsid w:val="005A185B"/>
    <w:rPr>
      <w:rFonts w:ascii="FUTURA HEAVY BT" w:eastAsia="Times New Roman" w:hAnsi="FUTURA HEAVY BT" w:cs="Futura Medium"/>
      <w:b/>
      <w:bCs/>
      <w:color w:val="2773A3"/>
      <w:kern w:val="2"/>
      <w:sz w:val="36"/>
      <w:szCs w:val="36"/>
    </w:rPr>
  </w:style>
  <w:style w:type="character" w:styleId="Emphasis">
    <w:name w:val="Emphasis"/>
    <w:uiPriority w:val="20"/>
    <w:qFormat/>
    <w:rsid w:val="00EF166A"/>
    <w:rPr>
      <w:i/>
      <w:iCs/>
    </w:rPr>
  </w:style>
  <w:style w:type="character" w:customStyle="1" w:styleId="Heading2Char">
    <w:name w:val="Heading 2 Char"/>
    <w:link w:val="Heading2"/>
    <w:uiPriority w:val="9"/>
    <w:rsid w:val="0039349B"/>
    <w:rPr>
      <w:rFonts w:ascii="FUTURA HEAVY BT" w:eastAsia="Times New Roman" w:hAnsi="FUTURA HEAVY BT" w:cs="Futura Bk BT"/>
      <w:b/>
      <w:bCs/>
      <w:color w:val="3C6D58"/>
      <w:kern w:val="2"/>
      <w:sz w:val="28"/>
      <w:szCs w:val="28"/>
    </w:rPr>
  </w:style>
  <w:style w:type="character" w:customStyle="1" w:styleId="Heading3Char">
    <w:name w:val="Heading 3 Char"/>
    <w:link w:val="Heading3"/>
    <w:uiPriority w:val="9"/>
    <w:rsid w:val="008F1290"/>
    <w:rPr>
      <w:rFonts w:ascii="FUTURA HEAVY ITALIC BT" w:eastAsia="Times New Roman" w:hAnsi="FUTURA HEAVY ITALIC BT" w:cs="Calibri"/>
      <w:b/>
      <w:bCs/>
      <w:color w:val="2773A3"/>
      <w:kern w:val="2"/>
      <w:sz w:val="24"/>
      <w:szCs w:val="24"/>
    </w:rPr>
  </w:style>
  <w:style w:type="paragraph" w:styleId="ListNumber">
    <w:name w:val="List Number"/>
    <w:basedOn w:val="Normal"/>
    <w:uiPriority w:val="99"/>
    <w:unhideWhenUsed/>
    <w:qFormat/>
    <w:rsid w:val="00A3197B"/>
    <w:pPr>
      <w:numPr>
        <w:numId w:val="2"/>
      </w:numPr>
      <w:contextualSpacing/>
    </w:pPr>
  </w:style>
  <w:style w:type="paragraph" w:customStyle="1" w:styleId="ByLine">
    <w:name w:val="By Line"/>
    <w:basedOn w:val="Normal"/>
    <w:qFormat/>
    <w:rsid w:val="00EF166A"/>
    <w:pPr>
      <w:spacing w:after="240"/>
    </w:pPr>
    <w:rPr>
      <w:i/>
      <w:iCs/>
      <w:color w:val="AEAAAA"/>
    </w:rPr>
  </w:style>
  <w:style w:type="paragraph" w:customStyle="1" w:styleId="Footnote">
    <w:name w:val="Footnote"/>
    <w:basedOn w:val="FootnoteText"/>
    <w:qFormat/>
    <w:rsid w:val="00A3197B"/>
    <w:rPr>
      <w:rFonts w:eastAsia="Times New Roman" w:cs="Futura Bk BT"/>
    </w:rPr>
  </w:style>
  <w:style w:type="paragraph" w:styleId="FootnoteText">
    <w:name w:val="footnote text"/>
    <w:basedOn w:val="Normal"/>
    <w:link w:val="FootnoteTextChar"/>
    <w:uiPriority w:val="99"/>
    <w:unhideWhenUsed/>
    <w:qFormat/>
    <w:rsid w:val="00000D85"/>
    <w:pPr>
      <w:spacing w:after="0" w:line="240" w:lineRule="auto"/>
    </w:pPr>
    <w:rPr>
      <w:sz w:val="18"/>
      <w:szCs w:val="18"/>
    </w:rPr>
  </w:style>
  <w:style w:type="character" w:customStyle="1" w:styleId="FootnoteTextChar">
    <w:name w:val="Footnote Text Char"/>
    <w:link w:val="FootnoteText"/>
    <w:uiPriority w:val="99"/>
    <w:rsid w:val="00000D85"/>
    <w:rPr>
      <w:rFonts w:ascii="FUTURA BOOK BT" w:hAnsi="FUTURA BOOK BT" w:cs="Futura Medium"/>
      <w:color w:val="3F3F3F"/>
      <w:sz w:val="18"/>
      <w:szCs w:val="18"/>
    </w:rPr>
  </w:style>
  <w:style w:type="character" w:customStyle="1" w:styleId="Underline">
    <w:name w:val="Underline"/>
    <w:uiPriority w:val="1"/>
    <w:qFormat/>
    <w:rsid w:val="00CB4127"/>
    <w:rPr>
      <w:u w:val="single"/>
    </w:rPr>
  </w:style>
  <w:style w:type="paragraph" w:customStyle="1" w:styleId="HeaderFooterText">
    <w:name w:val="Header Footer Text"/>
    <w:basedOn w:val="Header"/>
    <w:autoRedefine/>
    <w:qFormat/>
    <w:rsid w:val="00496F95"/>
    <w:rPr>
      <w:sz w:val="18"/>
    </w:rPr>
  </w:style>
  <w:style w:type="character" w:styleId="Strong">
    <w:name w:val="Strong"/>
    <w:uiPriority w:val="22"/>
    <w:qFormat/>
    <w:rsid w:val="00EF166A"/>
    <w:rPr>
      <w:b/>
      <w:bCs/>
    </w:rPr>
  </w:style>
  <w:style w:type="character" w:customStyle="1" w:styleId="StrongEmphasis">
    <w:name w:val="Strong &amp; Emphasis"/>
    <w:uiPriority w:val="1"/>
    <w:qFormat/>
    <w:rsid w:val="000551CB"/>
    <w:rPr>
      <w:rFonts w:ascii="FUTURA HEAVY BT" w:hAnsi="FUTURA HEAVY BT"/>
      <w:b/>
      <w:bCs/>
      <w:i/>
      <w:iCs/>
    </w:rPr>
  </w:style>
  <w:style w:type="character" w:customStyle="1" w:styleId="FootnoteRefTitles">
    <w:name w:val="Footnote Ref Titles"/>
    <w:uiPriority w:val="1"/>
    <w:qFormat/>
    <w:rsid w:val="00000D85"/>
    <w:rPr>
      <w:rFonts w:ascii="FUTURA BOOK ITALIC BT" w:hAnsi="FUTURA BOOK ITALIC BT"/>
      <w:i/>
      <w:iCs/>
      <w:color w:val="555555"/>
    </w:rPr>
  </w:style>
  <w:style w:type="paragraph" w:customStyle="1" w:styleId="FootnoteIndentedQuote">
    <w:name w:val="Footnote Indented Quote"/>
    <w:basedOn w:val="FootnoteText"/>
    <w:qFormat/>
    <w:rsid w:val="00000D85"/>
    <w:pPr>
      <w:ind w:left="720"/>
    </w:pPr>
    <w:rPr>
      <w:rFonts w:eastAsia="Times New Roman" w:cs="Times New Roman"/>
    </w:rPr>
  </w:style>
  <w:style w:type="character" w:styleId="PageNumber">
    <w:name w:val="page number"/>
    <w:uiPriority w:val="99"/>
    <w:unhideWhenUsed/>
    <w:rsid w:val="00496F95"/>
    <w:rPr>
      <w:noProof/>
      <w:color w:val="1D5579"/>
      <w:sz w:val="18"/>
      <w:szCs w:val="18"/>
    </w:rPr>
  </w:style>
  <w:style w:type="paragraph" w:styleId="Header">
    <w:name w:val="header"/>
    <w:basedOn w:val="Normal"/>
    <w:link w:val="HeaderChar"/>
    <w:uiPriority w:val="99"/>
    <w:unhideWhenUsed/>
    <w:rsid w:val="001D4846"/>
    <w:pPr>
      <w:tabs>
        <w:tab w:val="center" w:pos="4680"/>
        <w:tab w:val="right" w:pos="9360"/>
      </w:tabs>
      <w:spacing w:after="0" w:line="240" w:lineRule="auto"/>
      <w:jc w:val="right"/>
    </w:pPr>
    <w:rPr>
      <w:color w:val="1D5579"/>
    </w:rPr>
  </w:style>
  <w:style w:type="character" w:customStyle="1" w:styleId="HeaderChar">
    <w:name w:val="Header Char"/>
    <w:link w:val="Header"/>
    <w:uiPriority w:val="99"/>
    <w:rsid w:val="001D4846"/>
    <w:rPr>
      <w:rFonts w:ascii="FUTURA BOOK BT" w:hAnsi="FUTURA BOOK BT" w:cs="Futura Medium"/>
      <w:color w:val="2773A3"/>
      <w:szCs w:val="20"/>
    </w:rPr>
  </w:style>
  <w:style w:type="paragraph" w:styleId="Footer">
    <w:name w:val="footer"/>
    <w:basedOn w:val="Normal"/>
    <w:link w:val="FooterChar"/>
    <w:uiPriority w:val="99"/>
    <w:unhideWhenUsed/>
    <w:rsid w:val="001D036D"/>
    <w:pPr>
      <w:tabs>
        <w:tab w:val="center" w:pos="4680"/>
        <w:tab w:val="right" w:pos="9360"/>
      </w:tabs>
      <w:spacing w:after="0" w:line="240" w:lineRule="auto"/>
      <w:jc w:val="right"/>
    </w:pPr>
  </w:style>
  <w:style w:type="character" w:customStyle="1" w:styleId="FooterChar">
    <w:name w:val="Footer Char"/>
    <w:link w:val="Footer"/>
    <w:uiPriority w:val="99"/>
    <w:rsid w:val="001D036D"/>
    <w:rPr>
      <w:rFonts w:ascii="FUTURA BOOK BT" w:hAnsi="FUTURA BOOK BT" w:cs="Futura Medium"/>
      <w:color w:val="3F3F3F"/>
      <w:szCs w:val="20"/>
    </w:rPr>
  </w:style>
  <w:style w:type="paragraph" w:styleId="List">
    <w:name w:val="List"/>
    <w:basedOn w:val="Normal"/>
    <w:uiPriority w:val="99"/>
    <w:unhideWhenUsed/>
    <w:rsid w:val="00CB4127"/>
    <w:pPr>
      <w:ind w:left="360" w:hanging="360"/>
      <w:contextualSpacing/>
    </w:pPr>
  </w:style>
  <w:style w:type="paragraph" w:styleId="List2">
    <w:name w:val="List 2"/>
    <w:basedOn w:val="Normal"/>
    <w:uiPriority w:val="99"/>
    <w:unhideWhenUsed/>
    <w:rsid w:val="00CB4127"/>
    <w:pPr>
      <w:ind w:left="720" w:hanging="360"/>
      <w:contextualSpacing/>
    </w:pPr>
  </w:style>
  <w:style w:type="paragraph" w:styleId="List3">
    <w:name w:val="List 3"/>
    <w:basedOn w:val="Normal"/>
    <w:uiPriority w:val="99"/>
    <w:unhideWhenUsed/>
    <w:rsid w:val="00CB4127"/>
    <w:pPr>
      <w:ind w:left="1080" w:hanging="360"/>
      <w:contextualSpacing/>
    </w:pPr>
  </w:style>
  <w:style w:type="paragraph" w:styleId="List4">
    <w:name w:val="List 4"/>
    <w:basedOn w:val="Normal"/>
    <w:uiPriority w:val="99"/>
    <w:unhideWhenUsed/>
    <w:rsid w:val="00CB4127"/>
    <w:pPr>
      <w:ind w:left="1440" w:hanging="360"/>
      <w:contextualSpacing/>
    </w:pPr>
  </w:style>
  <w:style w:type="paragraph" w:styleId="List5">
    <w:name w:val="List 5"/>
    <w:basedOn w:val="Normal"/>
    <w:uiPriority w:val="99"/>
    <w:unhideWhenUsed/>
    <w:rsid w:val="00CB4127"/>
    <w:pPr>
      <w:ind w:left="1800" w:hanging="360"/>
      <w:contextualSpacing/>
    </w:pPr>
  </w:style>
  <w:style w:type="character" w:styleId="Hyperlink">
    <w:name w:val="Hyperlink"/>
    <w:uiPriority w:val="99"/>
    <w:unhideWhenUsed/>
    <w:rsid w:val="005A185B"/>
    <w:rPr>
      <w:color w:val="2773A3"/>
      <w:u w:val="single"/>
    </w:rPr>
  </w:style>
  <w:style w:type="character" w:customStyle="1" w:styleId="CoverReportName">
    <w:name w:val="Cover Report Name"/>
    <w:uiPriority w:val="1"/>
    <w:rsid w:val="00564AA3"/>
    <w:rPr>
      <w:rFonts w:ascii="FUTURA HEAVY BT" w:hAnsi="FUTURA HEAVY BT"/>
      <w:color w:val="2773A3"/>
    </w:rPr>
  </w:style>
  <w:style w:type="paragraph" w:customStyle="1" w:styleId="TableandFigureSource">
    <w:name w:val="Table and Figure Source"/>
    <w:basedOn w:val="NoteHeading"/>
    <w:uiPriority w:val="1"/>
    <w:qFormat/>
    <w:rsid w:val="00564AA3"/>
    <w:pPr>
      <w:tabs>
        <w:tab w:val="left" w:pos="990"/>
      </w:tabs>
      <w:spacing w:after="240" w:line="288" w:lineRule="auto"/>
      <w:contextualSpacing/>
    </w:pPr>
    <w:rPr>
      <w:rFonts w:ascii="Montserrat" w:hAnsi="Montserrat" w:cs="Times New Roman"/>
      <w:color w:val="3C6D58"/>
      <w:sz w:val="16"/>
      <w:lang w:val="en-AU" w:eastAsia="fr-CA"/>
    </w:rPr>
  </w:style>
  <w:style w:type="paragraph" w:styleId="NoteHeading">
    <w:name w:val="Note Heading"/>
    <w:basedOn w:val="Normal"/>
    <w:next w:val="Normal"/>
    <w:link w:val="NoteHeadingChar"/>
    <w:uiPriority w:val="99"/>
    <w:semiHidden/>
    <w:unhideWhenUsed/>
    <w:rsid w:val="00564AA3"/>
    <w:pPr>
      <w:spacing w:after="0" w:line="240" w:lineRule="auto"/>
    </w:pPr>
  </w:style>
  <w:style w:type="character" w:customStyle="1" w:styleId="NoteHeadingChar">
    <w:name w:val="Note Heading Char"/>
    <w:link w:val="NoteHeading"/>
    <w:uiPriority w:val="99"/>
    <w:semiHidden/>
    <w:rsid w:val="00564AA3"/>
    <w:rPr>
      <w:rFonts w:ascii="FUTURA BOOK BT" w:hAnsi="FUTURA BOOK BT" w:cs="Futura Medium"/>
      <w:color w:val="3F3F3F"/>
      <w:szCs w:val="20"/>
    </w:rPr>
  </w:style>
  <w:style w:type="character" w:styleId="FootnoteReference">
    <w:name w:val="footnote reference"/>
    <w:uiPriority w:val="99"/>
    <w:semiHidden/>
    <w:unhideWhenUsed/>
    <w:rsid w:val="00D9545A"/>
    <w:rPr>
      <w:vertAlign w:val="superscript"/>
    </w:rPr>
  </w:style>
  <w:style w:type="paragraph" w:customStyle="1" w:styleId="CoverClientName">
    <w:name w:val="Cover (Client Name)"/>
    <w:autoRedefine/>
    <w:rsid w:val="00F97CF1"/>
    <w:pPr>
      <w:spacing w:after="120"/>
    </w:pPr>
    <w:rPr>
      <w:rFonts w:ascii="FUTURA HEAVY BT" w:eastAsia="Times New Roman" w:hAnsi="FUTURA HEAVY BT" w:cs="Futura Medium"/>
      <w:b/>
      <w:bCs/>
      <w:color w:val="2773A3"/>
      <w:kern w:val="2"/>
      <w:sz w:val="36"/>
      <w:szCs w:val="36"/>
    </w:rPr>
  </w:style>
  <w:style w:type="paragraph" w:styleId="TOC1">
    <w:name w:val="toc 1"/>
    <w:basedOn w:val="Normal"/>
    <w:next w:val="Normal"/>
    <w:autoRedefine/>
    <w:uiPriority w:val="39"/>
    <w:unhideWhenUsed/>
    <w:qFormat/>
    <w:rsid w:val="00F97CF1"/>
    <w:pPr>
      <w:tabs>
        <w:tab w:val="right" w:leader="dot" w:pos="10070"/>
      </w:tabs>
      <w:spacing w:after="100"/>
    </w:pPr>
    <w:rPr>
      <w:rFonts w:ascii="FUTURA HEAVY BT" w:hAnsi="FUTURA HEAVY BT"/>
      <w:b/>
      <w:noProof/>
      <w:color w:val="2773A3"/>
    </w:rPr>
  </w:style>
  <w:style w:type="paragraph" w:styleId="TOC2">
    <w:name w:val="toc 2"/>
    <w:basedOn w:val="Normal"/>
    <w:next w:val="Normal"/>
    <w:autoRedefine/>
    <w:uiPriority w:val="39"/>
    <w:unhideWhenUsed/>
    <w:qFormat/>
    <w:rsid w:val="00F97CF1"/>
    <w:pPr>
      <w:tabs>
        <w:tab w:val="right" w:leader="dot" w:pos="10070"/>
      </w:tabs>
      <w:spacing w:after="100"/>
      <w:ind w:left="200"/>
    </w:pPr>
    <w:rPr>
      <w:rFonts w:ascii="FUTURA MEDIUM BT" w:hAnsi="FUTURA MEDIUM BT"/>
      <w:noProof/>
      <w:color w:val="3C6D58"/>
      <w:sz w:val="22"/>
    </w:rPr>
  </w:style>
  <w:style w:type="paragraph" w:styleId="TOC3">
    <w:name w:val="toc 3"/>
    <w:basedOn w:val="Normal"/>
    <w:next w:val="Normal"/>
    <w:autoRedefine/>
    <w:uiPriority w:val="39"/>
    <w:unhideWhenUsed/>
    <w:qFormat/>
    <w:rsid w:val="004B32F8"/>
    <w:pPr>
      <w:spacing w:after="100"/>
      <w:ind w:left="400"/>
    </w:pPr>
    <w:rPr>
      <w:i/>
      <w:color w:val="CC6600"/>
      <w:sz w:val="18"/>
    </w:rPr>
  </w:style>
  <w:style w:type="paragraph" w:styleId="TOC4">
    <w:name w:val="toc 4"/>
    <w:basedOn w:val="Normal"/>
    <w:next w:val="Normal"/>
    <w:autoRedefine/>
    <w:uiPriority w:val="39"/>
    <w:unhideWhenUsed/>
    <w:rsid w:val="00094154"/>
    <w:pPr>
      <w:spacing w:after="100"/>
      <w:ind w:left="600"/>
    </w:pPr>
  </w:style>
  <w:style w:type="paragraph" w:styleId="TOCHeading">
    <w:name w:val="TOC Heading"/>
    <w:aliases w:val="AF TOC Heading"/>
    <w:basedOn w:val="CoverClientName"/>
    <w:next w:val="Normal"/>
    <w:autoRedefine/>
    <w:uiPriority w:val="39"/>
    <w:unhideWhenUsed/>
    <w:qFormat/>
    <w:rsid w:val="00544D46"/>
    <w:pPr>
      <w:spacing w:after="240"/>
    </w:pPr>
  </w:style>
  <w:style w:type="paragraph" w:customStyle="1" w:styleId="StyleAfter0pt">
    <w:name w:val="Style After:  0 pt"/>
    <w:basedOn w:val="Normal"/>
    <w:rsid w:val="006D4D19"/>
    <w:pPr>
      <w:spacing w:after="0"/>
    </w:pPr>
    <w:rPr>
      <w:rFonts w:eastAsia="Times New Roman" w:cs="Times New Roman"/>
    </w:rPr>
  </w:style>
  <w:style w:type="paragraph" w:customStyle="1" w:styleId="NormalwithListBulletsfollowing">
    <w:name w:val="Normal with List Bullets following"/>
    <w:basedOn w:val="Normal"/>
    <w:next w:val="ListBullet"/>
    <w:rsid w:val="006D4D19"/>
    <w:pPr>
      <w:spacing w:after="0" w:line="240" w:lineRule="auto"/>
    </w:pPr>
    <w:rPr>
      <w:rFonts w:eastAsia="Times New Roman" w:cs="Times New Roman"/>
    </w:rPr>
  </w:style>
  <w:style w:type="character" w:styleId="PlaceholderText">
    <w:name w:val="Placeholder Text"/>
    <w:uiPriority w:val="99"/>
    <w:semiHidden/>
    <w:rsid w:val="00A21511"/>
    <w:rPr>
      <w:color w:val="808080"/>
    </w:rPr>
  </w:style>
  <w:style w:type="character" w:customStyle="1" w:styleId="Heading4Char">
    <w:name w:val="Heading 4 Char"/>
    <w:link w:val="Heading4"/>
    <w:uiPriority w:val="9"/>
    <w:rsid w:val="00E61F4E"/>
    <w:rPr>
      <w:rFonts w:ascii="FUTURA HEAVY BT" w:eastAsia="Times New Roman" w:hAnsi="FUTURA HEAVY BT" w:cs="Times New Roman"/>
      <w:b/>
      <w:bCs/>
      <w:color w:val="9F501B"/>
      <w:sz w:val="24"/>
      <w:szCs w:val="24"/>
    </w:rPr>
  </w:style>
  <w:style w:type="character" w:customStyle="1" w:styleId="Heading5Char">
    <w:name w:val="Heading 5 Char"/>
    <w:basedOn w:val="DefaultParagraphFont"/>
    <w:link w:val="Heading5"/>
    <w:uiPriority w:val="9"/>
    <w:semiHidden/>
    <w:rsid w:val="00FD676E"/>
    <w:rPr>
      <w:rFonts w:asciiTheme="majorHAnsi" w:eastAsiaTheme="majorEastAsia" w:hAnsiTheme="majorHAnsi" w:cstheme="majorBidi"/>
      <w:color w:val="1D5579" w:themeColor="accent1" w:themeShade="BF"/>
    </w:rPr>
  </w:style>
  <w:style w:type="character" w:customStyle="1" w:styleId="Heading6Char">
    <w:name w:val="Heading 6 Char"/>
    <w:basedOn w:val="DefaultParagraphFont"/>
    <w:link w:val="Heading6"/>
    <w:uiPriority w:val="9"/>
    <w:semiHidden/>
    <w:rsid w:val="00FD676E"/>
    <w:rPr>
      <w:rFonts w:asciiTheme="majorHAnsi" w:eastAsiaTheme="majorEastAsia" w:hAnsiTheme="majorHAnsi" w:cstheme="majorBidi"/>
      <w:color w:val="133950" w:themeColor="accent1" w:themeShade="7F"/>
    </w:rPr>
  </w:style>
  <w:style w:type="character" w:customStyle="1" w:styleId="Heading7Char">
    <w:name w:val="Heading 7 Char"/>
    <w:basedOn w:val="DefaultParagraphFont"/>
    <w:link w:val="Heading7"/>
    <w:uiPriority w:val="9"/>
    <w:semiHidden/>
    <w:rsid w:val="00FD676E"/>
    <w:rPr>
      <w:rFonts w:asciiTheme="majorHAnsi" w:eastAsiaTheme="majorEastAsia" w:hAnsiTheme="majorHAnsi" w:cstheme="majorBidi"/>
      <w:i/>
      <w:iCs/>
      <w:color w:val="133950" w:themeColor="accent1" w:themeShade="7F"/>
    </w:rPr>
  </w:style>
  <w:style w:type="character" w:customStyle="1" w:styleId="Heading8Char">
    <w:name w:val="Heading 8 Char"/>
    <w:basedOn w:val="DefaultParagraphFont"/>
    <w:link w:val="Heading8"/>
    <w:uiPriority w:val="9"/>
    <w:semiHidden/>
    <w:rsid w:val="00FD67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676E"/>
    <w:rPr>
      <w:rFonts w:asciiTheme="majorHAnsi" w:eastAsiaTheme="majorEastAsia" w:hAnsiTheme="majorHAnsi" w:cstheme="majorBidi"/>
      <w:i/>
      <w:iCs/>
      <w:color w:val="272727" w:themeColor="text1" w:themeTint="D8"/>
      <w:sz w:val="21"/>
      <w:szCs w:val="21"/>
    </w:rPr>
  </w:style>
  <w:style w:type="paragraph" w:styleId="ListParagraph">
    <w:name w:val="List Paragraph"/>
    <w:aliases w:val="Bulleted list"/>
    <w:basedOn w:val="Normal"/>
    <w:autoRedefine/>
    <w:uiPriority w:val="34"/>
    <w:qFormat/>
    <w:rsid w:val="00CD3741"/>
    <w:pPr>
      <w:numPr>
        <w:ilvl w:val="1"/>
        <w:numId w:val="4"/>
      </w:numPr>
      <w:pBdr>
        <w:top w:val="nil"/>
        <w:left w:val="nil"/>
        <w:bottom w:val="nil"/>
        <w:right w:val="nil"/>
        <w:between w:val="nil"/>
      </w:pBdr>
      <w:spacing w:after="0" w:line="240" w:lineRule="auto"/>
    </w:pPr>
    <w:rPr>
      <w:rFonts w:asciiTheme="minorHAnsi" w:eastAsia="Avenir" w:hAnsiTheme="minorHAnsi" w:cs="Avenir"/>
    </w:rPr>
  </w:style>
  <w:style w:type="character" w:styleId="CommentReference">
    <w:name w:val="annotation reference"/>
    <w:basedOn w:val="DefaultParagraphFont"/>
    <w:uiPriority w:val="99"/>
    <w:semiHidden/>
    <w:unhideWhenUsed/>
    <w:rsid w:val="00FD676E"/>
    <w:rPr>
      <w:sz w:val="16"/>
      <w:szCs w:val="16"/>
    </w:rPr>
  </w:style>
  <w:style w:type="paragraph" w:styleId="CommentText">
    <w:name w:val="annotation text"/>
    <w:basedOn w:val="Normal"/>
    <w:link w:val="CommentTextChar"/>
    <w:uiPriority w:val="99"/>
    <w:unhideWhenUsed/>
    <w:rsid w:val="00FD676E"/>
    <w:pPr>
      <w:spacing w:line="240" w:lineRule="auto"/>
    </w:pPr>
    <w:rPr>
      <w:rFonts w:ascii="Avenir Book" w:eastAsia="Avenir" w:hAnsi="Avenir Book" w:cs="Avenir"/>
    </w:rPr>
  </w:style>
  <w:style w:type="character" w:customStyle="1" w:styleId="CommentTextChar">
    <w:name w:val="Comment Text Char"/>
    <w:basedOn w:val="DefaultParagraphFont"/>
    <w:link w:val="CommentText"/>
    <w:uiPriority w:val="99"/>
    <w:rsid w:val="00FD676E"/>
    <w:rPr>
      <w:rFonts w:ascii="Avenir Book" w:eastAsia="Avenir" w:hAnsi="Avenir Book" w:cs="Avenir"/>
    </w:rPr>
  </w:style>
  <w:style w:type="paragraph" w:styleId="CommentSubject">
    <w:name w:val="annotation subject"/>
    <w:basedOn w:val="CommentText"/>
    <w:next w:val="CommentText"/>
    <w:link w:val="CommentSubjectChar"/>
    <w:uiPriority w:val="99"/>
    <w:semiHidden/>
    <w:unhideWhenUsed/>
    <w:rsid w:val="00FD676E"/>
    <w:rPr>
      <w:b/>
      <w:bCs/>
    </w:rPr>
  </w:style>
  <w:style w:type="character" w:customStyle="1" w:styleId="CommentSubjectChar">
    <w:name w:val="Comment Subject Char"/>
    <w:basedOn w:val="CommentTextChar"/>
    <w:link w:val="CommentSubject"/>
    <w:uiPriority w:val="99"/>
    <w:semiHidden/>
    <w:rsid w:val="00FD676E"/>
    <w:rPr>
      <w:rFonts w:ascii="Avenir Book" w:eastAsia="Avenir" w:hAnsi="Avenir Book" w:cs="Avenir"/>
      <w:b/>
      <w:bCs/>
    </w:rPr>
  </w:style>
  <w:style w:type="paragraph" w:styleId="BalloonText">
    <w:name w:val="Balloon Text"/>
    <w:basedOn w:val="Normal"/>
    <w:link w:val="BalloonTextChar"/>
    <w:uiPriority w:val="99"/>
    <w:semiHidden/>
    <w:unhideWhenUsed/>
    <w:rsid w:val="00FD676E"/>
    <w:pPr>
      <w:spacing w:after="0" w:line="240" w:lineRule="auto"/>
    </w:pPr>
    <w:rPr>
      <w:rFonts w:ascii="Segoe UI" w:eastAsia="Avenir" w:hAnsi="Segoe UI" w:cs="Segoe UI"/>
      <w:sz w:val="18"/>
      <w:szCs w:val="18"/>
    </w:rPr>
  </w:style>
  <w:style w:type="character" w:customStyle="1" w:styleId="BalloonTextChar">
    <w:name w:val="Balloon Text Char"/>
    <w:basedOn w:val="DefaultParagraphFont"/>
    <w:link w:val="BalloonText"/>
    <w:uiPriority w:val="99"/>
    <w:semiHidden/>
    <w:rsid w:val="00FD676E"/>
    <w:rPr>
      <w:rFonts w:ascii="Segoe UI" w:eastAsia="Avenir" w:hAnsi="Segoe UI" w:cs="Segoe UI"/>
      <w:sz w:val="18"/>
      <w:szCs w:val="18"/>
    </w:rPr>
  </w:style>
  <w:style w:type="paragraph" w:styleId="Revision">
    <w:name w:val="Revision"/>
    <w:hidden/>
    <w:uiPriority w:val="99"/>
    <w:semiHidden/>
    <w:rsid w:val="00FD676E"/>
    <w:rPr>
      <w:rFonts w:ascii="Avenir" w:eastAsia="Avenir" w:hAnsi="Avenir" w:cs="Avenir"/>
      <w:sz w:val="22"/>
      <w:szCs w:val="22"/>
    </w:rPr>
  </w:style>
  <w:style w:type="paragraph" w:customStyle="1" w:styleId="Chapter22">
    <w:name w:val="Chapter 22"/>
    <w:basedOn w:val="HeadingA"/>
    <w:autoRedefine/>
    <w:rsid w:val="00FD676E"/>
    <w:pPr>
      <w:spacing w:line="440" w:lineRule="exact"/>
    </w:pPr>
    <w:rPr>
      <w:rFonts w:ascii="Palatino Bold" w:hAnsi="Palatino Bold"/>
      <w:bCs/>
      <w:caps/>
      <w:sz w:val="36"/>
      <w:szCs w:val="36"/>
    </w:rPr>
  </w:style>
  <w:style w:type="paragraph" w:customStyle="1" w:styleId="HeadingA">
    <w:name w:val="Heading A"/>
    <w:basedOn w:val="Normal"/>
    <w:qFormat/>
    <w:rsid w:val="00FD676E"/>
    <w:pPr>
      <w:spacing w:line="280" w:lineRule="exact"/>
    </w:pPr>
    <w:rPr>
      <w:rFonts w:ascii="Avenir Book" w:eastAsia="Avenir" w:hAnsi="Avenir Book" w:cs="Avenir"/>
      <w:b/>
    </w:rPr>
  </w:style>
  <w:style w:type="table" w:styleId="TableGrid">
    <w:name w:val="Table Grid"/>
    <w:basedOn w:val="TableNormal"/>
    <w:uiPriority w:val="39"/>
    <w:rsid w:val="00FD676E"/>
    <w:rPr>
      <w:rFonts w:ascii="Avenir" w:eastAsia="Avenir" w:hAnsi="Avenir" w:cs="Aveni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FD676E"/>
  </w:style>
  <w:style w:type="character" w:customStyle="1" w:styleId="label">
    <w:name w:val="label"/>
    <w:basedOn w:val="DefaultParagraphFont"/>
    <w:rsid w:val="00FD676E"/>
  </w:style>
  <w:style w:type="character" w:customStyle="1" w:styleId="UnresolvedMention1">
    <w:name w:val="Unresolved Mention1"/>
    <w:basedOn w:val="DefaultParagraphFont"/>
    <w:uiPriority w:val="99"/>
    <w:semiHidden/>
    <w:unhideWhenUsed/>
    <w:rsid w:val="00FD676E"/>
    <w:rPr>
      <w:color w:val="605E5C"/>
      <w:shd w:val="clear" w:color="auto" w:fill="E1DFDD"/>
    </w:rPr>
  </w:style>
  <w:style w:type="character" w:styleId="FollowedHyperlink">
    <w:name w:val="FollowedHyperlink"/>
    <w:basedOn w:val="DefaultParagraphFont"/>
    <w:uiPriority w:val="99"/>
    <w:semiHidden/>
    <w:unhideWhenUsed/>
    <w:rsid w:val="00FD676E"/>
    <w:rPr>
      <w:color w:val="00A0AE" w:themeColor="followedHyperlink"/>
      <w:u w:val="single"/>
    </w:rPr>
  </w:style>
  <w:style w:type="paragraph" w:styleId="NormalWeb">
    <w:name w:val="Normal (Web)"/>
    <w:basedOn w:val="Normal"/>
    <w:uiPriority w:val="99"/>
    <w:unhideWhenUsed/>
    <w:rsid w:val="00FD676E"/>
    <w:pPr>
      <w:spacing w:before="100" w:beforeAutospacing="1" w:after="100" w:afterAutospacing="1" w:line="240" w:lineRule="auto"/>
    </w:pPr>
    <w:rPr>
      <w:rFonts w:ascii="Times New Roman" w:eastAsia="Times New Roman" w:hAnsi="Times New Roman" w:cs="Times New Roman"/>
    </w:rPr>
  </w:style>
  <w:style w:type="paragraph" w:styleId="BodyText3">
    <w:name w:val="Body Text 3"/>
    <w:basedOn w:val="Normal"/>
    <w:link w:val="BodyText3Char"/>
    <w:uiPriority w:val="99"/>
    <w:unhideWhenUsed/>
    <w:rsid w:val="00FD676E"/>
    <w:pPr>
      <w:spacing w:line="280" w:lineRule="exact"/>
    </w:pPr>
    <w:rPr>
      <w:rFonts w:ascii="Avenir Book" w:eastAsia="Avenir" w:hAnsi="Avenir Book" w:cs="Avenir"/>
      <w:sz w:val="16"/>
      <w:szCs w:val="16"/>
    </w:rPr>
  </w:style>
  <w:style w:type="character" w:customStyle="1" w:styleId="BodyText3Char">
    <w:name w:val="Body Text 3 Char"/>
    <w:basedOn w:val="DefaultParagraphFont"/>
    <w:link w:val="BodyText3"/>
    <w:uiPriority w:val="99"/>
    <w:rsid w:val="00FD676E"/>
    <w:rPr>
      <w:rFonts w:ascii="Avenir Book" w:eastAsia="Avenir" w:hAnsi="Avenir Book" w:cs="Avenir"/>
      <w:sz w:val="16"/>
      <w:szCs w:val="16"/>
    </w:rPr>
  </w:style>
  <w:style w:type="paragraph" w:customStyle="1" w:styleId="Default">
    <w:name w:val="Default"/>
    <w:rsid w:val="00FD676E"/>
    <w:pPr>
      <w:autoSpaceDE w:val="0"/>
      <w:autoSpaceDN w:val="0"/>
      <w:adjustRightInd w:val="0"/>
    </w:pPr>
    <w:rPr>
      <w:rFonts w:ascii="Myriad Pro" w:eastAsia="Avenir" w:hAnsi="Myriad Pro" w:cs="Myriad Pro"/>
      <w:color w:val="000000"/>
      <w:sz w:val="24"/>
      <w:szCs w:val="24"/>
    </w:rPr>
  </w:style>
  <w:style w:type="character" w:customStyle="1" w:styleId="A3">
    <w:name w:val="A3"/>
    <w:uiPriority w:val="99"/>
    <w:rsid w:val="00FD676E"/>
    <w:rPr>
      <w:rFonts w:cs="Myriad Pro"/>
      <w:color w:val="211D1E"/>
      <w:sz w:val="22"/>
      <w:szCs w:val="22"/>
    </w:rPr>
  </w:style>
  <w:style w:type="character" w:customStyle="1" w:styleId="hgkelc">
    <w:name w:val="hgkelc"/>
    <w:basedOn w:val="DefaultParagraphFont"/>
    <w:rsid w:val="00FD676E"/>
  </w:style>
  <w:style w:type="paragraph" w:styleId="Subtitle">
    <w:name w:val="Subtitle"/>
    <w:basedOn w:val="Normal"/>
    <w:next w:val="Normal"/>
    <w:link w:val="SubtitleChar"/>
    <w:uiPriority w:val="11"/>
    <w:rsid w:val="00FD676E"/>
    <w:pPr>
      <w:keepNext/>
      <w:keepLines/>
      <w:spacing w:before="360" w:after="80" w:line="280" w:lineRule="exact"/>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D676E"/>
    <w:rPr>
      <w:rFonts w:ascii="Georgia" w:eastAsia="Georgia" w:hAnsi="Georgia" w:cs="Georgia"/>
      <w:i/>
      <w:color w:val="666666"/>
      <w:sz w:val="48"/>
      <w:szCs w:val="48"/>
    </w:rPr>
  </w:style>
  <w:style w:type="paragraph" w:customStyle="1" w:styleId="a">
    <w:name w:val="a"/>
    <w:basedOn w:val="Normal"/>
    <w:rsid w:val="00FD676E"/>
    <w:pPr>
      <w:spacing w:before="100" w:beforeAutospacing="1" w:after="100" w:afterAutospacing="1" w:line="240" w:lineRule="auto"/>
    </w:pPr>
    <w:rPr>
      <w:rFonts w:ascii="Times New Roman" w:eastAsia="Times New Roman" w:hAnsi="Times New Roman" w:cs="Times New Roman"/>
    </w:rPr>
  </w:style>
  <w:style w:type="paragraph" w:customStyle="1" w:styleId="indentapt5in">
    <w:name w:val="indent_a_pt5in"/>
    <w:basedOn w:val="Normal"/>
    <w:rsid w:val="00FD676E"/>
    <w:pPr>
      <w:spacing w:before="100" w:beforeAutospacing="1" w:after="100" w:afterAutospacing="1" w:line="240" w:lineRule="auto"/>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FD676E"/>
    <w:rPr>
      <w:color w:val="605E5C"/>
      <w:shd w:val="clear" w:color="auto" w:fill="E1DFDD"/>
    </w:rPr>
  </w:style>
  <w:style w:type="paragraph" w:customStyle="1" w:styleId="Chapter">
    <w:name w:val="Chapter"/>
    <w:basedOn w:val="Normal"/>
    <w:autoRedefine/>
    <w:rsid w:val="00FD676E"/>
    <w:pPr>
      <w:pBdr>
        <w:top w:val="nil"/>
        <w:left w:val="nil"/>
        <w:bottom w:val="nil"/>
        <w:right w:val="nil"/>
        <w:between w:val="nil"/>
      </w:pBdr>
      <w:spacing w:before="120" w:after="240" w:line="280" w:lineRule="exact"/>
    </w:pPr>
    <w:rPr>
      <w:rFonts w:ascii="Palatino" w:eastAsia="Palatino Linotype" w:hAnsi="Palatino" w:cs="Palatino Linotype"/>
      <w:b/>
      <w:bCs/>
      <w:color w:val="000000"/>
      <w:sz w:val="32"/>
      <w:szCs w:val="32"/>
    </w:rPr>
  </w:style>
  <w:style w:type="paragraph" w:customStyle="1" w:styleId="AFTitle1">
    <w:name w:val="AF Title 1"/>
    <w:basedOn w:val="Normal"/>
    <w:autoRedefine/>
    <w:rsid w:val="00FD676E"/>
    <w:pPr>
      <w:spacing w:before="240" w:after="80" w:line="280" w:lineRule="exact"/>
    </w:pPr>
    <w:rPr>
      <w:rFonts w:ascii="Palatino Linotype" w:eastAsia="Avenir" w:hAnsi="Palatino Linotype" w:cs="Avenir"/>
      <w:b/>
      <w:sz w:val="28"/>
      <w:szCs w:val="28"/>
    </w:rPr>
  </w:style>
  <w:style w:type="paragraph" w:customStyle="1" w:styleId="Style1">
    <w:name w:val="Style1"/>
    <w:basedOn w:val="CommentText"/>
    <w:rsid w:val="00FD676E"/>
    <w:rPr>
      <w:i/>
      <w:color w:val="800000"/>
      <w:sz w:val="18"/>
      <w:szCs w:val="18"/>
    </w:rPr>
  </w:style>
  <w:style w:type="paragraph" w:customStyle="1" w:styleId="AFCaption">
    <w:name w:val="AF Caption"/>
    <w:basedOn w:val="CommentText"/>
    <w:autoRedefine/>
    <w:rsid w:val="00FD676E"/>
    <w:pPr>
      <w:spacing w:before="80" w:line="220" w:lineRule="exact"/>
    </w:pPr>
    <w:rPr>
      <w:i/>
      <w:color w:val="800000"/>
      <w:sz w:val="18"/>
      <w:szCs w:val="18"/>
    </w:rPr>
  </w:style>
  <w:style w:type="paragraph" w:customStyle="1" w:styleId="AFPagefooter">
    <w:name w:val="AF Page footer"/>
    <w:basedOn w:val="Normal"/>
    <w:autoRedefine/>
    <w:rsid w:val="00FD676E"/>
    <w:pPr>
      <w:pBdr>
        <w:top w:val="nil"/>
        <w:left w:val="nil"/>
        <w:bottom w:val="nil"/>
        <w:right w:val="nil"/>
        <w:between w:val="nil"/>
      </w:pBdr>
      <w:tabs>
        <w:tab w:val="center" w:pos="4680"/>
        <w:tab w:val="right" w:pos="9360"/>
      </w:tabs>
      <w:spacing w:before="120" w:after="0" w:line="240" w:lineRule="auto"/>
    </w:pPr>
    <w:rPr>
      <w:rFonts w:ascii="Avenir Book" w:eastAsia="Avenir" w:hAnsi="Avenir Book" w:cs="Avenir"/>
      <w:color w:val="0070C0"/>
      <w:sz w:val="16"/>
      <w:szCs w:val="16"/>
    </w:rPr>
  </w:style>
  <w:style w:type="paragraph" w:customStyle="1" w:styleId="Heading">
    <w:name w:val="Heading"/>
    <w:basedOn w:val="Normal"/>
    <w:qFormat/>
    <w:rsid w:val="00FD676E"/>
    <w:pPr>
      <w:spacing w:after="60" w:line="259" w:lineRule="auto"/>
    </w:pPr>
    <w:rPr>
      <w:rFonts w:ascii="Avenir Book" w:eastAsiaTheme="minorHAnsi" w:hAnsi="Avenir Book" w:cstheme="minorBidi"/>
      <w:b/>
      <w:sz w:val="36"/>
      <w:szCs w:val="22"/>
    </w:rPr>
  </w:style>
  <w:style w:type="character" w:customStyle="1" w:styleId="normaltextrun">
    <w:name w:val="normaltextrun"/>
    <w:basedOn w:val="DefaultParagraphFont"/>
    <w:rsid w:val="00FD676E"/>
  </w:style>
  <w:style w:type="character" w:customStyle="1" w:styleId="eop">
    <w:name w:val="eop"/>
    <w:basedOn w:val="DefaultParagraphFont"/>
    <w:rsid w:val="00FD676E"/>
  </w:style>
  <w:style w:type="character" w:customStyle="1" w:styleId="A1">
    <w:name w:val="A1"/>
    <w:uiPriority w:val="99"/>
    <w:rsid w:val="00FD676E"/>
    <w:rPr>
      <w:rFonts w:cs="Myriad Pro"/>
      <w:color w:val="000000"/>
      <w:sz w:val="22"/>
      <w:szCs w:val="22"/>
    </w:rPr>
  </w:style>
  <w:style w:type="character" w:customStyle="1" w:styleId="UnresolvedMention3">
    <w:name w:val="Unresolved Mention3"/>
    <w:basedOn w:val="DefaultParagraphFont"/>
    <w:uiPriority w:val="99"/>
    <w:semiHidden/>
    <w:unhideWhenUsed/>
    <w:rsid w:val="006621A5"/>
    <w:rPr>
      <w:color w:val="605E5C"/>
      <w:shd w:val="clear" w:color="auto" w:fill="E1DFDD"/>
    </w:rPr>
  </w:style>
  <w:style w:type="paragraph" w:styleId="ListBullet2">
    <w:name w:val="List Bullet 2"/>
    <w:basedOn w:val="Normal"/>
    <w:uiPriority w:val="99"/>
    <w:unhideWhenUsed/>
    <w:rsid w:val="007A055F"/>
    <w:pPr>
      <w:numPr>
        <w:numId w:val="6"/>
      </w:numPr>
      <w:contextualSpacing/>
    </w:pPr>
  </w:style>
  <w:style w:type="paragraph" w:styleId="ListNumber2">
    <w:name w:val="List Number 2"/>
    <w:basedOn w:val="Normal"/>
    <w:uiPriority w:val="99"/>
    <w:unhideWhenUsed/>
    <w:rsid w:val="007A055F"/>
    <w:pPr>
      <w:numPr>
        <w:numId w:val="7"/>
      </w:numPr>
      <w:contextualSpacing/>
    </w:pPr>
  </w:style>
  <w:style w:type="character" w:customStyle="1" w:styleId="cf01">
    <w:name w:val="cf01"/>
    <w:basedOn w:val="DefaultParagraphFont"/>
    <w:rsid w:val="00854F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90">
      <w:bodyDiv w:val="1"/>
      <w:marLeft w:val="0"/>
      <w:marRight w:val="0"/>
      <w:marTop w:val="0"/>
      <w:marBottom w:val="0"/>
      <w:divBdr>
        <w:top w:val="none" w:sz="0" w:space="0" w:color="auto"/>
        <w:left w:val="none" w:sz="0" w:space="0" w:color="auto"/>
        <w:bottom w:val="none" w:sz="0" w:space="0" w:color="auto"/>
        <w:right w:val="none" w:sz="0" w:space="0" w:color="auto"/>
      </w:divBdr>
    </w:div>
    <w:div w:id="22757658">
      <w:bodyDiv w:val="1"/>
      <w:marLeft w:val="0"/>
      <w:marRight w:val="0"/>
      <w:marTop w:val="0"/>
      <w:marBottom w:val="0"/>
      <w:divBdr>
        <w:top w:val="none" w:sz="0" w:space="0" w:color="auto"/>
        <w:left w:val="none" w:sz="0" w:space="0" w:color="auto"/>
        <w:bottom w:val="none" w:sz="0" w:space="0" w:color="auto"/>
        <w:right w:val="none" w:sz="0" w:space="0" w:color="auto"/>
      </w:divBdr>
    </w:div>
    <w:div w:id="48068662">
      <w:bodyDiv w:val="1"/>
      <w:marLeft w:val="0"/>
      <w:marRight w:val="0"/>
      <w:marTop w:val="0"/>
      <w:marBottom w:val="0"/>
      <w:divBdr>
        <w:top w:val="none" w:sz="0" w:space="0" w:color="auto"/>
        <w:left w:val="none" w:sz="0" w:space="0" w:color="auto"/>
        <w:bottom w:val="none" w:sz="0" w:space="0" w:color="auto"/>
        <w:right w:val="none" w:sz="0" w:space="0" w:color="auto"/>
      </w:divBdr>
    </w:div>
    <w:div w:id="69350913">
      <w:bodyDiv w:val="1"/>
      <w:marLeft w:val="0"/>
      <w:marRight w:val="0"/>
      <w:marTop w:val="0"/>
      <w:marBottom w:val="0"/>
      <w:divBdr>
        <w:top w:val="none" w:sz="0" w:space="0" w:color="auto"/>
        <w:left w:val="none" w:sz="0" w:space="0" w:color="auto"/>
        <w:bottom w:val="none" w:sz="0" w:space="0" w:color="auto"/>
        <w:right w:val="none" w:sz="0" w:space="0" w:color="auto"/>
      </w:divBdr>
    </w:div>
    <w:div w:id="88475762">
      <w:bodyDiv w:val="1"/>
      <w:marLeft w:val="0"/>
      <w:marRight w:val="0"/>
      <w:marTop w:val="0"/>
      <w:marBottom w:val="0"/>
      <w:divBdr>
        <w:top w:val="none" w:sz="0" w:space="0" w:color="auto"/>
        <w:left w:val="none" w:sz="0" w:space="0" w:color="auto"/>
        <w:bottom w:val="none" w:sz="0" w:space="0" w:color="auto"/>
        <w:right w:val="none" w:sz="0" w:space="0" w:color="auto"/>
      </w:divBdr>
    </w:div>
    <w:div w:id="100223063">
      <w:bodyDiv w:val="1"/>
      <w:marLeft w:val="0"/>
      <w:marRight w:val="0"/>
      <w:marTop w:val="0"/>
      <w:marBottom w:val="0"/>
      <w:divBdr>
        <w:top w:val="none" w:sz="0" w:space="0" w:color="auto"/>
        <w:left w:val="none" w:sz="0" w:space="0" w:color="auto"/>
        <w:bottom w:val="none" w:sz="0" w:space="0" w:color="auto"/>
        <w:right w:val="none" w:sz="0" w:space="0" w:color="auto"/>
      </w:divBdr>
    </w:div>
    <w:div w:id="156654272">
      <w:bodyDiv w:val="1"/>
      <w:marLeft w:val="0"/>
      <w:marRight w:val="0"/>
      <w:marTop w:val="0"/>
      <w:marBottom w:val="0"/>
      <w:divBdr>
        <w:top w:val="none" w:sz="0" w:space="0" w:color="auto"/>
        <w:left w:val="none" w:sz="0" w:space="0" w:color="auto"/>
        <w:bottom w:val="none" w:sz="0" w:space="0" w:color="auto"/>
        <w:right w:val="none" w:sz="0" w:space="0" w:color="auto"/>
      </w:divBdr>
    </w:div>
    <w:div w:id="389769647">
      <w:bodyDiv w:val="1"/>
      <w:marLeft w:val="0"/>
      <w:marRight w:val="0"/>
      <w:marTop w:val="0"/>
      <w:marBottom w:val="0"/>
      <w:divBdr>
        <w:top w:val="none" w:sz="0" w:space="0" w:color="auto"/>
        <w:left w:val="none" w:sz="0" w:space="0" w:color="auto"/>
        <w:bottom w:val="none" w:sz="0" w:space="0" w:color="auto"/>
        <w:right w:val="none" w:sz="0" w:space="0" w:color="auto"/>
      </w:divBdr>
      <w:divsChild>
        <w:div w:id="62803776">
          <w:marLeft w:val="0"/>
          <w:marRight w:val="0"/>
          <w:marTop w:val="0"/>
          <w:marBottom w:val="0"/>
          <w:divBdr>
            <w:top w:val="single" w:sz="2" w:space="0" w:color="D9D9E3"/>
            <w:left w:val="single" w:sz="2" w:space="0" w:color="D9D9E3"/>
            <w:bottom w:val="single" w:sz="2" w:space="0" w:color="D9D9E3"/>
            <w:right w:val="single" w:sz="2" w:space="0" w:color="D9D9E3"/>
          </w:divBdr>
          <w:divsChild>
            <w:div w:id="2055621774">
              <w:marLeft w:val="0"/>
              <w:marRight w:val="0"/>
              <w:marTop w:val="0"/>
              <w:marBottom w:val="0"/>
              <w:divBdr>
                <w:top w:val="single" w:sz="2" w:space="0" w:color="D9D9E3"/>
                <w:left w:val="single" w:sz="2" w:space="0" w:color="D9D9E3"/>
                <w:bottom w:val="single" w:sz="2" w:space="0" w:color="D9D9E3"/>
                <w:right w:val="single" w:sz="2" w:space="0" w:color="D9D9E3"/>
              </w:divBdr>
              <w:divsChild>
                <w:div w:id="1286041134">
                  <w:marLeft w:val="0"/>
                  <w:marRight w:val="0"/>
                  <w:marTop w:val="0"/>
                  <w:marBottom w:val="0"/>
                  <w:divBdr>
                    <w:top w:val="single" w:sz="2" w:space="0" w:color="D9D9E3"/>
                    <w:left w:val="single" w:sz="2" w:space="0" w:color="D9D9E3"/>
                    <w:bottom w:val="single" w:sz="2" w:space="0" w:color="D9D9E3"/>
                    <w:right w:val="single" w:sz="2" w:space="0" w:color="D9D9E3"/>
                  </w:divBdr>
                  <w:divsChild>
                    <w:div w:id="1254630778">
                      <w:marLeft w:val="0"/>
                      <w:marRight w:val="0"/>
                      <w:marTop w:val="0"/>
                      <w:marBottom w:val="0"/>
                      <w:divBdr>
                        <w:top w:val="single" w:sz="2" w:space="0" w:color="D9D9E3"/>
                        <w:left w:val="single" w:sz="2" w:space="0" w:color="D9D9E3"/>
                        <w:bottom w:val="single" w:sz="2" w:space="0" w:color="D9D9E3"/>
                        <w:right w:val="single" w:sz="2" w:space="0" w:color="D9D9E3"/>
                      </w:divBdr>
                      <w:divsChild>
                        <w:div w:id="2058317033">
                          <w:marLeft w:val="0"/>
                          <w:marRight w:val="0"/>
                          <w:marTop w:val="0"/>
                          <w:marBottom w:val="0"/>
                          <w:divBdr>
                            <w:top w:val="single" w:sz="2" w:space="0" w:color="auto"/>
                            <w:left w:val="single" w:sz="2" w:space="0" w:color="auto"/>
                            <w:bottom w:val="single" w:sz="6" w:space="0" w:color="auto"/>
                            <w:right w:val="single" w:sz="2" w:space="0" w:color="auto"/>
                          </w:divBdr>
                          <w:divsChild>
                            <w:div w:id="1212301670">
                              <w:marLeft w:val="0"/>
                              <w:marRight w:val="0"/>
                              <w:marTop w:val="100"/>
                              <w:marBottom w:val="100"/>
                              <w:divBdr>
                                <w:top w:val="single" w:sz="2" w:space="0" w:color="D9D9E3"/>
                                <w:left w:val="single" w:sz="2" w:space="0" w:color="D9D9E3"/>
                                <w:bottom w:val="single" w:sz="2" w:space="0" w:color="D9D9E3"/>
                                <w:right w:val="single" w:sz="2" w:space="0" w:color="D9D9E3"/>
                              </w:divBdr>
                              <w:divsChild>
                                <w:div w:id="2146583138">
                                  <w:marLeft w:val="0"/>
                                  <w:marRight w:val="0"/>
                                  <w:marTop w:val="0"/>
                                  <w:marBottom w:val="0"/>
                                  <w:divBdr>
                                    <w:top w:val="single" w:sz="2" w:space="0" w:color="D9D9E3"/>
                                    <w:left w:val="single" w:sz="2" w:space="0" w:color="D9D9E3"/>
                                    <w:bottom w:val="single" w:sz="2" w:space="0" w:color="D9D9E3"/>
                                    <w:right w:val="single" w:sz="2" w:space="0" w:color="D9D9E3"/>
                                  </w:divBdr>
                                  <w:divsChild>
                                    <w:div w:id="2033266234">
                                      <w:marLeft w:val="0"/>
                                      <w:marRight w:val="0"/>
                                      <w:marTop w:val="0"/>
                                      <w:marBottom w:val="0"/>
                                      <w:divBdr>
                                        <w:top w:val="single" w:sz="2" w:space="0" w:color="D9D9E3"/>
                                        <w:left w:val="single" w:sz="2" w:space="0" w:color="D9D9E3"/>
                                        <w:bottom w:val="single" w:sz="2" w:space="0" w:color="D9D9E3"/>
                                        <w:right w:val="single" w:sz="2" w:space="0" w:color="D9D9E3"/>
                                      </w:divBdr>
                                      <w:divsChild>
                                        <w:div w:id="1576940744">
                                          <w:marLeft w:val="0"/>
                                          <w:marRight w:val="0"/>
                                          <w:marTop w:val="0"/>
                                          <w:marBottom w:val="0"/>
                                          <w:divBdr>
                                            <w:top w:val="single" w:sz="2" w:space="0" w:color="D9D9E3"/>
                                            <w:left w:val="single" w:sz="2" w:space="0" w:color="D9D9E3"/>
                                            <w:bottom w:val="single" w:sz="2" w:space="0" w:color="D9D9E3"/>
                                            <w:right w:val="single" w:sz="2" w:space="0" w:color="D9D9E3"/>
                                          </w:divBdr>
                                          <w:divsChild>
                                            <w:div w:id="23793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8364142">
          <w:marLeft w:val="0"/>
          <w:marRight w:val="0"/>
          <w:marTop w:val="0"/>
          <w:marBottom w:val="0"/>
          <w:divBdr>
            <w:top w:val="none" w:sz="0" w:space="0" w:color="auto"/>
            <w:left w:val="none" w:sz="0" w:space="0" w:color="auto"/>
            <w:bottom w:val="none" w:sz="0" w:space="0" w:color="auto"/>
            <w:right w:val="none" w:sz="0" w:space="0" w:color="auto"/>
          </w:divBdr>
        </w:div>
      </w:divsChild>
    </w:div>
    <w:div w:id="408816930">
      <w:bodyDiv w:val="1"/>
      <w:marLeft w:val="0"/>
      <w:marRight w:val="0"/>
      <w:marTop w:val="0"/>
      <w:marBottom w:val="0"/>
      <w:divBdr>
        <w:top w:val="none" w:sz="0" w:space="0" w:color="auto"/>
        <w:left w:val="none" w:sz="0" w:space="0" w:color="auto"/>
        <w:bottom w:val="none" w:sz="0" w:space="0" w:color="auto"/>
        <w:right w:val="none" w:sz="0" w:space="0" w:color="auto"/>
      </w:divBdr>
      <w:divsChild>
        <w:div w:id="360740069">
          <w:marLeft w:val="0"/>
          <w:marRight w:val="0"/>
          <w:marTop w:val="0"/>
          <w:marBottom w:val="0"/>
          <w:divBdr>
            <w:top w:val="none" w:sz="0" w:space="0" w:color="auto"/>
            <w:left w:val="none" w:sz="0" w:space="0" w:color="auto"/>
            <w:bottom w:val="none" w:sz="0" w:space="0" w:color="auto"/>
            <w:right w:val="none" w:sz="0" w:space="0" w:color="auto"/>
          </w:divBdr>
        </w:div>
        <w:div w:id="670792842">
          <w:marLeft w:val="0"/>
          <w:marRight w:val="0"/>
          <w:marTop w:val="0"/>
          <w:marBottom w:val="0"/>
          <w:divBdr>
            <w:top w:val="single" w:sz="2" w:space="0" w:color="D9D9E3"/>
            <w:left w:val="single" w:sz="2" w:space="0" w:color="D9D9E3"/>
            <w:bottom w:val="single" w:sz="2" w:space="0" w:color="D9D9E3"/>
            <w:right w:val="single" w:sz="2" w:space="0" w:color="D9D9E3"/>
          </w:divBdr>
          <w:divsChild>
            <w:div w:id="563294619">
              <w:marLeft w:val="0"/>
              <w:marRight w:val="0"/>
              <w:marTop w:val="0"/>
              <w:marBottom w:val="0"/>
              <w:divBdr>
                <w:top w:val="single" w:sz="2" w:space="0" w:color="D9D9E3"/>
                <w:left w:val="single" w:sz="2" w:space="0" w:color="D9D9E3"/>
                <w:bottom w:val="single" w:sz="2" w:space="0" w:color="D9D9E3"/>
                <w:right w:val="single" w:sz="2" w:space="0" w:color="D9D9E3"/>
              </w:divBdr>
              <w:divsChild>
                <w:div w:id="596642160">
                  <w:marLeft w:val="0"/>
                  <w:marRight w:val="0"/>
                  <w:marTop w:val="0"/>
                  <w:marBottom w:val="0"/>
                  <w:divBdr>
                    <w:top w:val="single" w:sz="2" w:space="0" w:color="D9D9E3"/>
                    <w:left w:val="single" w:sz="2" w:space="0" w:color="D9D9E3"/>
                    <w:bottom w:val="single" w:sz="2" w:space="0" w:color="D9D9E3"/>
                    <w:right w:val="single" w:sz="2" w:space="0" w:color="D9D9E3"/>
                  </w:divBdr>
                  <w:divsChild>
                    <w:div w:id="844326990">
                      <w:marLeft w:val="0"/>
                      <w:marRight w:val="0"/>
                      <w:marTop w:val="0"/>
                      <w:marBottom w:val="0"/>
                      <w:divBdr>
                        <w:top w:val="single" w:sz="2" w:space="0" w:color="D9D9E3"/>
                        <w:left w:val="single" w:sz="2" w:space="0" w:color="D9D9E3"/>
                        <w:bottom w:val="single" w:sz="2" w:space="0" w:color="D9D9E3"/>
                        <w:right w:val="single" w:sz="2" w:space="0" w:color="D9D9E3"/>
                      </w:divBdr>
                      <w:divsChild>
                        <w:div w:id="1625765613">
                          <w:marLeft w:val="0"/>
                          <w:marRight w:val="0"/>
                          <w:marTop w:val="0"/>
                          <w:marBottom w:val="0"/>
                          <w:divBdr>
                            <w:top w:val="single" w:sz="2" w:space="0" w:color="auto"/>
                            <w:left w:val="single" w:sz="2" w:space="0" w:color="auto"/>
                            <w:bottom w:val="single" w:sz="6" w:space="0" w:color="auto"/>
                            <w:right w:val="single" w:sz="2" w:space="0" w:color="auto"/>
                          </w:divBdr>
                          <w:divsChild>
                            <w:div w:id="39060926">
                              <w:marLeft w:val="0"/>
                              <w:marRight w:val="0"/>
                              <w:marTop w:val="100"/>
                              <w:marBottom w:val="100"/>
                              <w:divBdr>
                                <w:top w:val="single" w:sz="2" w:space="0" w:color="D9D9E3"/>
                                <w:left w:val="single" w:sz="2" w:space="0" w:color="D9D9E3"/>
                                <w:bottom w:val="single" w:sz="2" w:space="0" w:color="D9D9E3"/>
                                <w:right w:val="single" w:sz="2" w:space="0" w:color="D9D9E3"/>
                              </w:divBdr>
                              <w:divsChild>
                                <w:div w:id="245848794">
                                  <w:marLeft w:val="0"/>
                                  <w:marRight w:val="0"/>
                                  <w:marTop w:val="0"/>
                                  <w:marBottom w:val="0"/>
                                  <w:divBdr>
                                    <w:top w:val="single" w:sz="2" w:space="0" w:color="D9D9E3"/>
                                    <w:left w:val="single" w:sz="2" w:space="0" w:color="D9D9E3"/>
                                    <w:bottom w:val="single" w:sz="2" w:space="0" w:color="D9D9E3"/>
                                    <w:right w:val="single" w:sz="2" w:space="0" w:color="D9D9E3"/>
                                  </w:divBdr>
                                  <w:divsChild>
                                    <w:div w:id="1259682617">
                                      <w:marLeft w:val="0"/>
                                      <w:marRight w:val="0"/>
                                      <w:marTop w:val="0"/>
                                      <w:marBottom w:val="0"/>
                                      <w:divBdr>
                                        <w:top w:val="single" w:sz="2" w:space="0" w:color="D9D9E3"/>
                                        <w:left w:val="single" w:sz="2" w:space="0" w:color="D9D9E3"/>
                                        <w:bottom w:val="single" w:sz="2" w:space="0" w:color="D9D9E3"/>
                                        <w:right w:val="single" w:sz="2" w:space="0" w:color="D9D9E3"/>
                                      </w:divBdr>
                                      <w:divsChild>
                                        <w:div w:id="655183202">
                                          <w:marLeft w:val="0"/>
                                          <w:marRight w:val="0"/>
                                          <w:marTop w:val="0"/>
                                          <w:marBottom w:val="0"/>
                                          <w:divBdr>
                                            <w:top w:val="single" w:sz="2" w:space="0" w:color="D9D9E3"/>
                                            <w:left w:val="single" w:sz="2" w:space="0" w:color="D9D9E3"/>
                                            <w:bottom w:val="single" w:sz="2" w:space="0" w:color="D9D9E3"/>
                                            <w:right w:val="single" w:sz="2" w:space="0" w:color="D9D9E3"/>
                                          </w:divBdr>
                                          <w:divsChild>
                                            <w:div w:id="1948344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18261185">
      <w:bodyDiv w:val="1"/>
      <w:marLeft w:val="0"/>
      <w:marRight w:val="0"/>
      <w:marTop w:val="0"/>
      <w:marBottom w:val="0"/>
      <w:divBdr>
        <w:top w:val="none" w:sz="0" w:space="0" w:color="auto"/>
        <w:left w:val="none" w:sz="0" w:space="0" w:color="auto"/>
        <w:bottom w:val="none" w:sz="0" w:space="0" w:color="auto"/>
        <w:right w:val="none" w:sz="0" w:space="0" w:color="auto"/>
      </w:divBdr>
    </w:div>
    <w:div w:id="595596713">
      <w:bodyDiv w:val="1"/>
      <w:marLeft w:val="0"/>
      <w:marRight w:val="0"/>
      <w:marTop w:val="0"/>
      <w:marBottom w:val="0"/>
      <w:divBdr>
        <w:top w:val="none" w:sz="0" w:space="0" w:color="auto"/>
        <w:left w:val="none" w:sz="0" w:space="0" w:color="auto"/>
        <w:bottom w:val="none" w:sz="0" w:space="0" w:color="auto"/>
        <w:right w:val="none" w:sz="0" w:space="0" w:color="auto"/>
      </w:divBdr>
    </w:div>
    <w:div w:id="655374522">
      <w:bodyDiv w:val="1"/>
      <w:marLeft w:val="0"/>
      <w:marRight w:val="0"/>
      <w:marTop w:val="0"/>
      <w:marBottom w:val="0"/>
      <w:divBdr>
        <w:top w:val="none" w:sz="0" w:space="0" w:color="auto"/>
        <w:left w:val="none" w:sz="0" w:space="0" w:color="auto"/>
        <w:bottom w:val="none" w:sz="0" w:space="0" w:color="auto"/>
        <w:right w:val="none" w:sz="0" w:space="0" w:color="auto"/>
      </w:divBdr>
    </w:div>
    <w:div w:id="797378296">
      <w:bodyDiv w:val="1"/>
      <w:marLeft w:val="0"/>
      <w:marRight w:val="0"/>
      <w:marTop w:val="0"/>
      <w:marBottom w:val="0"/>
      <w:divBdr>
        <w:top w:val="none" w:sz="0" w:space="0" w:color="auto"/>
        <w:left w:val="none" w:sz="0" w:space="0" w:color="auto"/>
        <w:bottom w:val="none" w:sz="0" w:space="0" w:color="auto"/>
        <w:right w:val="none" w:sz="0" w:space="0" w:color="auto"/>
      </w:divBdr>
    </w:div>
    <w:div w:id="803085947">
      <w:bodyDiv w:val="1"/>
      <w:marLeft w:val="0"/>
      <w:marRight w:val="0"/>
      <w:marTop w:val="0"/>
      <w:marBottom w:val="0"/>
      <w:divBdr>
        <w:top w:val="none" w:sz="0" w:space="0" w:color="auto"/>
        <w:left w:val="none" w:sz="0" w:space="0" w:color="auto"/>
        <w:bottom w:val="none" w:sz="0" w:space="0" w:color="auto"/>
        <w:right w:val="none" w:sz="0" w:space="0" w:color="auto"/>
      </w:divBdr>
    </w:div>
    <w:div w:id="835725386">
      <w:bodyDiv w:val="1"/>
      <w:marLeft w:val="0"/>
      <w:marRight w:val="0"/>
      <w:marTop w:val="0"/>
      <w:marBottom w:val="0"/>
      <w:divBdr>
        <w:top w:val="none" w:sz="0" w:space="0" w:color="auto"/>
        <w:left w:val="none" w:sz="0" w:space="0" w:color="auto"/>
        <w:bottom w:val="none" w:sz="0" w:space="0" w:color="auto"/>
        <w:right w:val="none" w:sz="0" w:space="0" w:color="auto"/>
      </w:divBdr>
    </w:div>
    <w:div w:id="837814415">
      <w:bodyDiv w:val="1"/>
      <w:marLeft w:val="0"/>
      <w:marRight w:val="0"/>
      <w:marTop w:val="0"/>
      <w:marBottom w:val="0"/>
      <w:divBdr>
        <w:top w:val="none" w:sz="0" w:space="0" w:color="auto"/>
        <w:left w:val="none" w:sz="0" w:space="0" w:color="auto"/>
        <w:bottom w:val="none" w:sz="0" w:space="0" w:color="auto"/>
        <w:right w:val="none" w:sz="0" w:space="0" w:color="auto"/>
      </w:divBdr>
    </w:div>
    <w:div w:id="878666853">
      <w:bodyDiv w:val="1"/>
      <w:marLeft w:val="0"/>
      <w:marRight w:val="0"/>
      <w:marTop w:val="0"/>
      <w:marBottom w:val="0"/>
      <w:divBdr>
        <w:top w:val="none" w:sz="0" w:space="0" w:color="auto"/>
        <w:left w:val="none" w:sz="0" w:space="0" w:color="auto"/>
        <w:bottom w:val="none" w:sz="0" w:space="0" w:color="auto"/>
        <w:right w:val="none" w:sz="0" w:space="0" w:color="auto"/>
      </w:divBdr>
    </w:div>
    <w:div w:id="942342260">
      <w:bodyDiv w:val="1"/>
      <w:marLeft w:val="0"/>
      <w:marRight w:val="0"/>
      <w:marTop w:val="0"/>
      <w:marBottom w:val="0"/>
      <w:divBdr>
        <w:top w:val="none" w:sz="0" w:space="0" w:color="auto"/>
        <w:left w:val="none" w:sz="0" w:space="0" w:color="auto"/>
        <w:bottom w:val="none" w:sz="0" w:space="0" w:color="auto"/>
        <w:right w:val="none" w:sz="0" w:space="0" w:color="auto"/>
      </w:divBdr>
    </w:div>
    <w:div w:id="1036346896">
      <w:bodyDiv w:val="1"/>
      <w:marLeft w:val="0"/>
      <w:marRight w:val="0"/>
      <w:marTop w:val="0"/>
      <w:marBottom w:val="0"/>
      <w:divBdr>
        <w:top w:val="none" w:sz="0" w:space="0" w:color="auto"/>
        <w:left w:val="none" w:sz="0" w:space="0" w:color="auto"/>
        <w:bottom w:val="none" w:sz="0" w:space="0" w:color="auto"/>
        <w:right w:val="none" w:sz="0" w:space="0" w:color="auto"/>
      </w:divBdr>
    </w:div>
    <w:div w:id="1178814714">
      <w:bodyDiv w:val="1"/>
      <w:marLeft w:val="0"/>
      <w:marRight w:val="0"/>
      <w:marTop w:val="0"/>
      <w:marBottom w:val="0"/>
      <w:divBdr>
        <w:top w:val="none" w:sz="0" w:space="0" w:color="auto"/>
        <w:left w:val="none" w:sz="0" w:space="0" w:color="auto"/>
        <w:bottom w:val="none" w:sz="0" w:space="0" w:color="auto"/>
        <w:right w:val="none" w:sz="0" w:space="0" w:color="auto"/>
      </w:divBdr>
    </w:div>
    <w:div w:id="1271624980">
      <w:bodyDiv w:val="1"/>
      <w:marLeft w:val="0"/>
      <w:marRight w:val="0"/>
      <w:marTop w:val="0"/>
      <w:marBottom w:val="0"/>
      <w:divBdr>
        <w:top w:val="none" w:sz="0" w:space="0" w:color="auto"/>
        <w:left w:val="none" w:sz="0" w:space="0" w:color="auto"/>
        <w:bottom w:val="none" w:sz="0" w:space="0" w:color="auto"/>
        <w:right w:val="none" w:sz="0" w:space="0" w:color="auto"/>
      </w:divBdr>
    </w:div>
    <w:div w:id="1344361954">
      <w:bodyDiv w:val="1"/>
      <w:marLeft w:val="0"/>
      <w:marRight w:val="0"/>
      <w:marTop w:val="0"/>
      <w:marBottom w:val="0"/>
      <w:divBdr>
        <w:top w:val="none" w:sz="0" w:space="0" w:color="auto"/>
        <w:left w:val="none" w:sz="0" w:space="0" w:color="auto"/>
        <w:bottom w:val="none" w:sz="0" w:space="0" w:color="auto"/>
        <w:right w:val="none" w:sz="0" w:space="0" w:color="auto"/>
      </w:divBdr>
    </w:div>
    <w:div w:id="1363824842">
      <w:bodyDiv w:val="1"/>
      <w:marLeft w:val="0"/>
      <w:marRight w:val="0"/>
      <w:marTop w:val="0"/>
      <w:marBottom w:val="0"/>
      <w:divBdr>
        <w:top w:val="none" w:sz="0" w:space="0" w:color="auto"/>
        <w:left w:val="none" w:sz="0" w:space="0" w:color="auto"/>
        <w:bottom w:val="none" w:sz="0" w:space="0" w:color="auto"/>
        <w:right w:val="none" w:sz="0" w:space="0" w:color="auto"/>
      </w:divBdr>
    </w:div>
    <w:div w:id="1459685733">
      <w:bodyDiv w:val="1"/>
      <w:marLeft w:val="0"/>
      <w:marRight w:val="0"/>
      <w:marTop w:val="0"/>
      <w:marBottom w:val="0"/>
      <w:divBdr>
        <w:top w:val="none" w:sz="0" w:space="0" w:color="auto"/>
        <w:left w:val="none" w:sz="0" w:space="0" w:color="auto"/>
        <w:bottom w:val="none" w:sz="0" w:space="0" w:color="auto"/>
        <w:right w:val="none" w:sz="0" w:space="0" w:color="auto"/>
      </w:divBdr>
    </w:div>
    <w:div w:id="1508322725">
      <w:bodyDiv w:val="1"/>
      <w:marLeft w:val="0"/>
      <w:marRight w:val="0"/>
      <w:marTop w:val="0"/>
      <w:marBottom w:val="0"/>
      <w:divBdr>
        <w:top w:val="none" w:sz="0" w:space="0" w:color="auto"/>
        <w:left w:val="none" w:sz="0" w:space="0" w:color="auto"/>
        <w:bottom w:val="none" w:sz="0" w:space="0" w:color="auto"/>
        <w:right w:val="none" w:sz="0" w:space="0" w:color="auto"/>
      </w:divBdr>
    </w:div>
    <w:div w:id="1550874929">
      <w:bodyDiv w:val="1"/>
      <w:marLeft w:val="0"/>
      <w:marRight w:val="0"/>
      <w:marTop w:val="0"/>
      <w:marBottom w:val="0"/>
      <w:divBdr>
        <w:top w:val="none" w:sz="0" w:space="0" w:color="auto"/>
        <w:left w:val="none" w:sz="0" w:space="0" w:color="auto"/>
        <w:bottom w:val="none" w:sz="0" w:space="0" w:color="auto"/>
        <w:right w:val="none" w:sz="0" w:space="0" w:color="auto"/>
      </w:divBdr>
    </w:div>
    <w:div w:id="1592662289">
      <w:bodyDiv w:val="1"/>
      <w:marLeft w:val="0"/>
      <w:marRight w:val="0"/>
      <w:marTop w:val="0"/>
      <w:marBottom w:val="0"/>
      <w:divBdr>
        <w:top w:val="none" w:sz="0" w:space="0" w:color="auto"/>
        <w:left w:val="none" w:sz="0" w:space="0" w:color="auto"/>
        <w:bottom w:val="none" w:sz="0" w:space="0" w:color="auto"/>
        <w:right w:val="none" w:sz="0" w:space="0" w:color="auto"/>
      </w:divBdr>
    </w:div>
    <w:div w:id="1655985224">
      <w:bodyDiv w:val="1"/>
      <w:marLeft w:val="0"/>
      <w:marRight w:val="0"/>
      <w:marTop w:val="0"/>
      <w:marBottom w:val="0"/>
      <w:divBdr>
        <w:top w:val="none" w:sz="0" w:space="0" w:color="auto"/>
        <w:left w:val="none" w:sz="0" w:space="0" w:color="auto"/>
        <w:bottom w:val="none" w:sz="0" w:space="0" w:color="auto"/>
        <w:right w:val="none" w:sz="0" w:space="0" w:color="auto"/>
      </w:divBdr>
    </w:div>
    <w:div w:id="1771778944">
      <w:bodyDiv w:val="1"/>
      <w:marLeft w:val="0"/>
      <w:marRight w:val="0"/>
      <w:marTop w:val="0"/>
      <w:marBottom w:val="0"/>
      <w:divBdr>
        <w:top w:val="none" w:sz="0" w:space="0" w:color="auto"/>
        <w:left w:val="none" w:sz="0" w:space="0" w:color="auto"/>
        <w:bottom w:val="none" w:sz="0" w:space="0" w:color="auto"/>
        <w:right w:val="none" w:sz="0" w:space="0" w:color="auto"/>
      </w:divBdr>
    </w:div>
    <w:div w:id="21169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ocuments\Custom%20Office%20Templates\DPC%20Word%20Template.dotx" TargetMode="External"/></Relationships>
</file>

<file path=word/theme/theme1.xml><?xml version="1.0" encoding="utf-8"?>
<a:theme xmlns:a="http://schemas.openxmlformats.org/drawingml/2006/main" name="DPC_Test">
  <a:themeElements>
    <a:clrScheme name="Delta Protection Commission">
      <a:dk1>
        <a:srgbClr val="000000"/>
      </a:dk1>
      <a:lt1>
        <a:srgbClr val="FFFFFF"/>
      </a:lt1>
      <a:dk2>
        <a:srgbClr val="3C6D58"/>
      </a:dk2>
      <a:lt2>
        <a:srgbClr val="E7E6E6"/>
      </a:lt2>
      <a:accent1>
        <a:srgbClr val="2773A3"/>
      </a:accent1>
      <a:accent2>
        <a:srgbClr val="CC6600"/>
      </a:accent2>
      <a:accent3>
        <a:srgbClr val="00A0AE"/>
      </a:accent3>
      <a:accent4>
        <a:srgbClr val="283B90"/>
      </a:accent4>
      <a:accent5>
        <a:srgbClr val="555555"/>
      </a:accent5>
      <a:accent6>
        <a:srgbClr val="C3C2C4"/>
      </a:accent6>
      <a:hlink>
        <a:srgbClr val="DB5E00"/>
      </a:hlink>
      <a:folHlink>
        <a:srgbClr val="00A0AE"/>
      </a:folHlink>
    </a:clrScheme>
    <a:fontScheme name="Delta Protection Commission">
      <a:majorFont>
        <a:latin typeface="Futura Hv BT"/>
        <a:ea typeface=""/>
        <a:cs typeface=""/>
      </a:majorFont>
      <a:minorFont>
        <a:latin typeface="Futura Bk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PC_Test" id="{DB74659A-BF53-A143-BED8-82ABD7E0F88B}" vid="{A470AA58-AEE0-7B4E-96D2-8C3AFDEA98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913780DE31347995DA86FB97A6877" ma:contentTypeVersion="15" ma:contentTypeDescription="Create a new document." ma:contentTypeScope="" ma:versionID="04df1a290d4fb4c17aa3565e5ec5df39">
  <xsd:schema xmlns:xsd="http://www.w3.org/2001/XMLSchema" xmlns:xs="http://www.w3.org/2001/XMLSchema" xmlns:p="http://schemas.microsoft.com/office/2006/metadata/properties" xmlns:ns3="49bbc764-c2f9-4a7f-83ae-725d1dd2d306" xmlns:ns4="ca47ce04-eab9-4d26-a2d2-84e55d91349b" targetNamespace="http://schemas.microsoft.com/office/2006/metadata/properties" ma:root="true" ma:fieldsID="da49ce29b1d77c75a06de3e88e07ce7c" ns3:_="" ns4:_="">
    <xsd:import namespace="49bbc764-c2f9-4a7f-83ae-725d1dd2d306"/>
    <xsd:import namespace="ca47ce04-eab9-4d26-a2d2-84e55d91349b"/>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bc764-c2f9-4a7f-83ae-725d1dd2d30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47ce04-eab9-4d26-a2d2-84e55d91349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9bbc764-c2f9-4a7f-83ae-725d1dd2d306" xsi:nil="true"/>
  </documentManagement>
</p:properties>
</file>

<file path=customXml/itemProps1.xml><?xml version="1.0" encoding="utf-8"?>
<ds:datastoreItem xmlns:ds="http://schemas.openxmlformats.org/officeDocument/2006/customXml" ds:itemID="{D0032E88-C585-4EA8-A9A6-F962A6492A30}">
  <ds:schemaRefs>
    <ds:schemaRef ds:uri="http://schemas.openxmlformats.org/officeDocument/2006/bibliography"/>
  </ds:schemaRefs>
</ds:datastoreItem>
</file>

<file path=customXml/itemProps2.xml><?xml version="1.0" encoding="utf-8"?>
<ds:datastoreItem xmlns:ds="http://schemas.openxmlformats.org/officeDocument/2006/customXml" ds:itemID="{DB8FE7C5-8288-4DFE-8AB6-B6F5ACD4B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bc764-c2f9-4a7f-83ae-725d1dd2d306"/>
    <ds:schemaRef ds:uri="ca47ce04-eab9-4d26-a2d2-84e55d913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E9D60-D17C-4A2A-8988-329665A38466}">
  <ds:schemaRefs>
    <ds:schemaRef ds:uri="http://schemas.microsoft.com/sharepoint/v3/contenttype/forms"/>
  </ds:schemaRefs>
</ds:datastoreItem>
</file>

<file path=customXml/itemProps4.xml><?xml version="1.0" encoding="utf-8"?>
<ds:datastoreItem xmlns:ds="http://schemas.openxmlformats.org/officeDocument/2006/customXml" ds:itemID="{31EBA4F3-C099-4ECE-A308-A1DDB3AE848F}">
  <ds:schemaRefs>
    <ds:schemaRef ds:uri="http://schemas.microsoft.com/office/2006/metadata/properties"/>
    <ds:schemaRef ds:uri="http://schemas.microsoft.com/office/infopath/2007/PartnerControls"/>
    <ds:schemaRef ds:uri="49bbc764-c2f9-4a7f-83ae-725d1dd2d306"/>
  </ds:schemaRefs>
</ds:datastoreItem>
</file>

<file path=docProps/app.xml><?xml version="1.0" encoding="utf-8"?>
<Properties xmlns="http://schemas.openxmlformats.org/officeDocument/2006/extended-properties" xmlns:vt="http://schemas.openxmlformats.org/officeDocument/2006/docPropsVTypes">
  <Template>DPC Word Template</Template>
  <TotalTime>4</TotalTime>
  <Pages>31</Pages>
  <Words>11499</Words>
  <Characters>65549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Title (edit this using "File&gt;Properties" panel)</vt:lpstr>
    </vt:vector>
  </TitlesOfParts>
  <Manager/>
  <Company/>
  <LinksUpToDate>false</LinksUpToDate>
  <CharactersWithSpaces>76895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(edit this using "File&gt;Properties" panel)</dc:title>
  <dc:subject/>
  <dc:creator>Nancy Morgan</dc:creator>
  <cp:keywords/>
  <dc:description/>
  <cp:lastModifiedBy>Heyser, Holly@DPC</cp:lastModifiedBy>
  <cp:revision>6</cp:revision>
  <dcterms:created xsi:type="dcterms:W3CDTF">2023-12-06T21:55:00Z</dcterms:created>
  <dcterms:modified xsi:type="dcterms:W3CDTF">2023-12-06T22:18:00Z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92dc9d2626e26bcb774a27f5bd9eb22b327d6956c563b733ad92477d729005b9</vt:lpwstr>
  </property>
  <property fmtid="{D5CDD505-2E9C-101B-9397-08002B2CF9AE}" pid="3" name="ContentTypeId">
    <vt:lpwstr>0x010100883913780DE31347995DA86FB97A6877</vt:lpwstr>
  </property>
</Properties>
</file>